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0F" w:rsidRPr="00866594" w:rsidRDefault="00866594">
      <w:pPr>
        <w:rPr>
          <w:b/>
        </w:rPr>
      </w:pPr>
      <w:r w:rsidRPr="00866594">
        <w:rPr>
          <w:b/>
        </w:rPr>
        <w:t>Problems 2-</w:t>
      </w:r>
      <w:r>
        <w:rPr>
          <w:b/>
        </w:rPr>
        <w:t>5</w:t>
      </w:r>
    </w:p>
    <w:p w:rsidR="00866594" w:rsidRDefault="00866594"/>
    <w:p w:rsidR="00866594" w:rsidRDefault="00866594" w:rsidP="0086659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Assuming all of the following bonds are eligible for delivery, and given the last futures quote of 100.25, which bond would be deemed the cheapest-to-deliver from the seller’s perspective? </w:t>
      </w:r>
    </w:p>
    <w:p w:rsidR="00866594" w:rsidRDefault="00866594" w:rsidP="00866594">
      <w:pPr>
        <w:pStyle w:val="NormalWeb"/>
        <w:spacing w:before="0" w:beforeAutospacing="0" w:after="0" w:afterAutospacing="0"/>
        <w:ind w:left="720"/>
        <w:rPr>
          <w:rFonts w:ascii="Book Antiqua" w:hAnsi="Book Antiqua"/>
          <w:sz w:val="22"/>
          <w:szCs w:val="22"/>
        </w:rPr>
      </w:pPr>
    </w:p>
    <w:p w:rsidR="00866594" w:rsidRPr="00A16A91" w:rsidRDefault="00866594" w:rsidP="00866594">
      <w:pPr>
        <w:pStyle w:val="NormalWeb"/>
        <w:spacing w:before="0" w:beforeAutospacing="0" w:after="0" w:afterAutospacing="0"/>
        <w:ind w:left="720"/>
        <w:rPr>
          <w:rFonts w:ascii="Book Antiqua" w:hAnsi="Book Antiqua"/>
          <w:i/>
          <w:sz w:val="22"/>
          <w:szCs w:val="22"/>
          <w:u w:val="single"/>
        </w:rPr>
      </w:pPr>
      <w:r w:rsidRPr="00A16A91">
        <w:rPr>
          <w:rFonts w:ascii="Book Antiqua" w:hAnsi="Book Antiqua"/>
          <w:i/>
          <w:sz w:val="22"/>
          <w:szCs w:val="22"/>
          <w:u w:val="single"/>
        </w:rPr>
        <w:t>Answer (b)</w:t>
      </w:r>
    </w:p>
    <w:p w:rsidR="00866594" w:rsidRPr="00A16A91" w:rsidRDefault="00866594" w:rsidP="00866594">
      <w:pPr>
        <w:pStyle w:val="NormalWeb"/>
        <w:spacing w:before="0" w:beforeAutospacing="0" w:after="0" w:afterAutospacing="0"/>
        <w:ind w:left="720"/>
        <w:rPr>
          <w:rFonts w:ascii="Book Antiqua" w:hAnsi="Book Antiqua"/>
          <w:i/>
          <w:sz w:val="22"/>
          <w:szCs w:val="22"/>
          <w:u w:val="single"/>
        </w:rPr>
      </w:pPr>
    </w:p>
    <w:p w:rsidR="00866594" w:rsidRPr="00A16A91" w:rsidRDefault="00866594" w:rsidP="0086659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Book Antiqua" w:hAnsi="Book Antiqua"/>
          <w:i/>
          <w:sz w:val="22"/>
          <w:szCs w:val="22"/>
          <w:u w:val="single"/>
        </w:rPr>
      </w:pPr>
      <w:r w:rsidRPr="00A16A91">
        <w:rPr>
          <w:rFonts w:ascii="Book Antiqua" w:hAnsi="Book Antiqua"/>
          <w:i/>
          <w:sz w:val="22"/>
          <w:szCs w:val="22"/>
          <w:u w:val="single"/>
        </w:rPr>
        <w:t>A bond priced at 99.25, with a conversion factor of 0.9714</w:t>
      </w:r>
    </w:p>
    <w:p w:rsidR="00866594" w:rsidRPr="00A16A91" w:rsidRDefault="00866594" w:rsidP="00866594">
      <w:pPr>
        <w:pStyle w:val="NormalWeb"/>
        <w:spacing w:before="0" w:beforeAutospacing="0" w:after="0" w:afterAutospacing="0"/>
        <w:ind w:left="1440"/>
        <w:rPr>
          <w:rFonts w:ascii="Book Antiqua" w:hAnsi="Book Antiqua"/>
          <w:i/>
          <w:sz w:val="22"/>
          <w:szCs w:val="22"/>
          <w:u w:val="single"/>
        </w:rPr>
      </w:pPr>
      <w:r w:rsidRPr="00A16A91">
        <w:rPr>
          <w:rFonts w:ascii="Book Antiqua" w:hAnsi="Book Antiqua"/>
          <w:i/>
          <w:sz w:val="22"/>
          <w:szCs w:val="22"/>
          <w:u w:val="single"/>
        </w:rPr>
        <w:t>100.25 x .9714 = 97.38285 sale proceeds – 99.25 cost to buy = -1.867 (this is a cost to the seller of $1.867 per bond).</w:t>
      </w:r>
    </w:p>
    <w:p w:rsidR="00866594" w:rsidRPr="00A16A91" w:rsidRDefault="00866594" w:rsidP="00866594">
      <w:pPr>
        <w:pStyle w:val="NormalWeb"/>
        <w:spacing w:before="0" w:beforeAutospacing="0" w:after="0" w:afterAutospacing="0"/>
        <w:ind w:left="1440"/>
        <w:rPr>
          <w:rFonts w:ascii="Book Antiqua" w:hAnsi="Book Antiqua"/>
          <w:i/>
          <w:sz w:val="22"/>
          <w:szCs w:val="22"/>
          <w:u w:val="single"/>
        </w:rPr>
      </w:pPr>
    </w:p>
    <w:p w:rsidR="00866594" w:rsidRPr="00A16A91" w:rsidRDefault="00866594" w:rsidP="0086659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Book Antiqua" w:hAnsi="Book Antiqua"/>
          <w:i/>
          <w:sz w:val="22"/>
          <w:szCs w:val="22"/>
          <w:u w:val="single"/>
        </w:rPr>
      </w:pPr>
      <w:r w:rsidRPr="00A16A91">
        <w:rPr>
          <w:rFonts w:ascii="Book Antiqua" w:hAnsi="Book Antiqua"/>
          <w:i/>
          <w:sz w:val="22"/>
          <w:szCs w:val="22"/>
          <w:u w:val="single"/>
        </w:rPr>
        <w:t>A bond priced at 103.50, with a conversion factor of 1.0473</w:t>
      </w:r>
    </w:p>
    <w:p w:rsidR="00866594" w:rsidRPr="00A16A91" w:rsidRDefault="00866594" w:rsidP="00866594">
      <w:pPr>
        <w:pStyle w:val="NormalWeb"/>
        <w:spacing w:before="0" w:beforeAutospacing="0" w:after="0" w:afterAutospacing="0"/>
        <w:ind w:left="1440"/>
        <w:rPr>
          <w:rFonts w:ascii="Book Antiqua" w:hAnsi="Book Antiqua"/>
          <w:i/>
          <w:sz w:val="22"/>
          <w:szCs w:val="22"/>
          <w:u w:val="single"/>
        </w:rPr>
      </w:pPr>
    </w:p>
    <w:p w:rsidR="00866594" w:rsidRPr="00A16A91" w:rsidRDefault="00866594" w:rsidP="00866594">
      <w:pPr>
        <w:pStyle w:val="NormalWeb"/>
        <w:spacing w:before="0" w:beforeAutospacing="0" w:after="0" w:afterAutospacing="0"/>
        <w:ind w:left="1440"/>
        <w:rPr>
          <w:rFonts w:ascii="Book Antiqua" w:hAnsi="Book Antiqua"/>
          <w:i/>
          <w:sz w:val="22"/>
          <w:szCs w:val="22"/>
          <w:u w:val="single"/>
        </w:rPr>
      </w:pPr>
      <w:r w:rsidRPr="00A16A91">
        <w:rPr>
          <w:rFonts w:ascii="Book Antiqua" w:hAnsi="Book Antiqua"/>
          <w:i/>
          <w:sz w:val="22"/>
          <w:szCs w:val="22"/>
          <w:u w:val="single"/>
        </w:rPr>
        <w:t>100.25 x 1.0473 = 104.99183 sale proceeds – 103.50 cost to buy = 1.49183 (this is a gain – like a negative cost -- to the seller of 1.49183 per bond).</w:t>
      </w:r>
    </w:p>
    <w:p w:rsidR="00866594" w:rsidRPr="00A16A91" w:rsidRDefault="00866594" w:rsidP="00866594">
      <w:pPr>
        <w:pStyle w:val="NormalWeb"/>
        <w:spacing w:before="0" w:beforeAutospacing="0" w:after="0" w:afterAutospacing="0"/>
        <w:ind w:left="1440"/>
        <w:rPr>
          <w:rFonts w:ascii="Book Antiqua" w:hAnsi="Book Antiqua"/>
          <w:i/>
          <w:sz w:val="22"/>
          <w:szCs w:val="22"/>
          <w:u w:val="single"/>
        </w:rPr>
      </w:pPr>
    </w:p>
    <w:p w:rsidR="00866594" w:rsidRPr="00A16A91" w:rsidRDefault="00866594" w:rsidP="0086659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Book Antiqua" w:hAnsi="Book Antiqua"/>
          <w:i/>
          <w:sz w:val="22"/>
          <w:szCs w:val="22"/>
          <w:u w:val="single"/>
        </w:rPr>
      </w:pPr>
      <w:r w:rsidRPr="00A16A91">
        <w:rPr>
          <w:rFonts w:ascii="Book Antiqua" w:hAnsi="Book Antiqua"/>
          <w:i/>
          <w:sz w:val="22"/>
          <w:szCs w:val="22"/>
          <w:u w:val="single"/>
        </w:rPr>
        <w:t>A bond priced at 100.75, with a conversion factor of 0.9932</w:t>
      </w:r>
    </w:p>
    <w:p w:rsidR="00866594" w:rsidRPr="00A16A91" w:rsidRDefault="00866594" w:rsidP="00866594">
      <w:pPr>
        <w:pStyle w:val="NormalWeb"/>
        <w:spacing w:before="0" w:beforeAutospacing="0" w:after="0" w:afterAutospacing="0"/>
        <w:ind w:left="720"/>
        <w:rPr>
          <w:rFonts w:ascii="Book Antiqua" w:hAnsi="Book Antiqua"/>
          <w:i/>
          <w:sz w:val="22"/>
          <w:szCs w:val="22"/>
          <w:u w:val="single"/>
        </w:rPr>
      </w:pPr>
    </w:p>
    <w:p w:rsidR="00866594" w:rsidRPr="00A16A91" w:rsidRDefault="00866594" w:rsidP="00866594">
      <w:pPr>
        <w:pStyle w:val="NormalWeb"/>
        <w:spacing w:before="0" w:beforeAutospacing="0" w:after="0" w:afterAutospacing="0"/>
        <w:ind w:left="1440"/>
        <w:rPr>
          <w:rFonts w:ascii="Book Antiqua" w:hAnsi="Book Antiqua"/>
          <w:i/>
          <w:sz w:val="22"/>
          <w:szCs w:val="22"/>
          <w:u w:val="single"/>
        </w:rPr>
      </w:pPr>
      <w:r w:rsidRPr="00A16A91">
        <w:rPr>
          <w:rFonts w:ascii="Book Antiqua" w:hAnsi="Book Antiqua"/>
          <w:i/>
          <w:sz w:val="22"/>
          <w:szCs w:val="22"/>
          <w:u w:val="single"/>
        </w:rPr>
        <w:t>100.25 x .9932 = 99.5683 sale proceeds – 100.75 cost to buy = -1.1817 (this is a cost to the seller of $1.1817 per bond).</w:t>
      </w:r>
    </w:p>
    <w:p w:rsidR="00866594" w:rsidRDefault="00866594" w:rsidP="00866594">
      <w:pPr>
        <w:pStyle w:val="NormalWeb"/>
        <w:spacing w:before="0" w:beforeAutospacing="0" w:after="0" w:afterAutospacing="0"/>
        <w:ind w:left="720"/>
        <w:rPr>
          <w:rFonts w:ascii="Book Antiqua" w:hAnsi="Book Antiqua"/>
          <w:sz w:val="22"/>
          <w:szCs w:val="22"/>
        </w:rPr>
      </w:pPr>
    </w:p>
    <w:p w:rsidR="00866594" w:rsidRDefault="00866594" w:rsidP="0086659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Which is not a viable method of effectively closing out a long position in a commodity forward contract? </w:t>
      </w:r>
    </w:p>
    <w:p w:rsidR="00866594" w:rsidRDefault="00866594" w:rsidP="00866594">
      <w:pPr>
        <w:pStyle w:val="NormalWeb"/>
        <w:spacing w:before="0" w:beforeAutospacing="0" w:after="0" w:afterAutospacing="0"/>
        <w:ind w:left="720"/>
        <w:rPr>
          <w:rFonts w:ascii="Book Antiqua" w:hAnsi="Book Antiqua"/>
          <w:sz w:val="22"/>
          <w:szCs w:val="22"/>
        </w:rPr>
      </w:pPr>
    </w:p>
    <w:p w:rsidR="00866594" w:rsidRDefault="00866594" w:rsidP="00866594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Make payment at delivery for the contractual commodity.</w:t>
      </w:r>
    </w:p>
    <w:p w:rsidR="00866594" w:rsidRDefault="00866594" w:rsidP="00866594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Take a reversing position in an identical commodity future that has a delivery date one month after your contract.</w:t>
      </w:r>
    </w:p>
    <w:p w:rsidR="00866594" w:rsidRDefault="00866594" w:rsidP="00866594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Enter into an identical, but reverse position, contract with a third party.</w:t>
      </w:r>
    </w:p>
    <w:p w:rsidR="00866594" w:rsidRDefault="00866594" w:rsidP="00866594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Enter into an identical, but reverse position, contract with the original party who holds the short forward contract.</w:t>
      </w:r>
    </w:p>
    <w:p w:rsidR="00866594" w:rsidRDefault="00866594" w:rsidP="00866594">
      <w:pPr>
        <w:pStyle w:val="Normal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866594" w:rsidRPr="00A16A91" w:rsidRDefault="00866594" w:rsidP="00866594">
      <w:pPr>
        <w:pStyle w:val="NormalWeb"/>
        <w:spacing w:before="0" w:beforeAutospacing="0" w:after="0" w:afterAutospacing="0"/>
        <w:rPr>
          <w:rFonts w:ascii="Book Antiqua" w:hAnsi="Book Antiqua"/>
          <w:i/>
          <w:sz w:val="22"/>
          <w:szCs w:val="22"/>
          <w:u w:val="single"/>
        </w:rPr>
      </w:pPr>
      <w:r w:rsidRPr="00A16A91">
        <w:rPr>
          <w:rFonts w:ascii="Book Antiqua" w:hAnsi="Book Antiqua"/>
          <w:i/>
          <w:sz w:val="22"/>
          <w:szCs w:val="22"/>
          <w:u w:val="single"/>
        </w:rPr>
        <w:t>Answer (b). You can’t mismatch the contract size or delivery date as you take an opposite position to close out the contract.</w:t>
      </w:r>
    </w:p>
    <w:p w:rsidR="00866594" w:rsidRDefault="00866594" w:rsidP="00866594">
      <w:pPr>
        <w:pStyle w:val="Normal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866594" w:rsidRDefault="00866594" w:rsidP="00866594">
      <w:pPr>
        <w:pStyle w:val="Normal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866594" w:rsidRPr="00AE7329" w:rsidRDefault="00866594" w:rsidP="0086659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CD4055">
        <w:rPr>
          <w:rFonts w:ascii="Book Antiqua" w:hAnsi="Book Antiqua" w:cs="QuarterlyTimes-Regular"/>
          <w:sz w:val="22"/>
          <w:szCs w:val="22"/>
        </w:rPr>
        <w:t xml:space="preserve">Briefly explain what the purpose is for the mark-to-market process. </w:t>
      </w:r>
      <w:r>
        <w:rPr>
          <w:rFonts w:ascii="Book Antiqua" w:hAnsi="Book Antiqua" w:cs="QuarterlyTimes-Regular"/>
          <w:sz w:val="22"/>
          <w:szCs w:val="22"/>
        </w:rPr>
        <w:t>Does this process exist with forward contracts, future contracts, or both</w:t>
      </w:r>
      <w:r w:rsidRPr="00CD4055">
        <w:rPr>
          <w:rFonts w:ascii="Book Antiqua" w:hAnsi="Book Antiqua" w:cs="QuarterlyTimes-Regular"/>
          <w:sz w:val="22"/>
          <w:szCs w:val="22"/>
        </w:rPr>
        <w:t>?</w:t>
      </w:r>
      <w:r>
        <w:rPr>
          <w:rFonts w:ascii="Book Antiqua" w:hAnsi="Book Antiqua" w:cs="QuarterlyTimes-Regular"/>
          <w:sz w:val="22"/>
          <w:szCs w:val="22"/>
        </w:rPr>
        <w:t xml:space="preserve"> If it does not exist in a particular market, explain why this is so?</w:t>
      </w:r>
    </w:p>
    <w:p w:rsidR="00866594" w:rsidRDefault="00866594" w:rsidP="00866594">
      <w:pPr>
        <w:pStyle w:val="NormalWeb"/>
        <w:spacing w:before="0" w:beforeAutospacing="0" w:after="0" w:afterAutospacing="0"/>
        <w:rPr>
          <w:rFonts w:ascii="Book Antiqua" w:hAnsi="Book Antiqua" w:cs="QuarterlyTimes-Regular"/>
          <w:sz w:val="22"/>
          <w:szCs w:val="22"/>
        </w:rPr>
      </w:pPr>
    </w:p>
    <w:p w:rsidR="00866594" w:rsidRDefault="00866594" w:rsidP="00866594">
      <w:pPr>
        <w:pStyle w:val="NormalWeb"/>
        <w:spacing w:before="0" w:beforeAutospacing="0" w:after="0" w:afterAutospacing="0"/>
        <w:rPr>
          <w:rFonts w:ascii="Book Antiqua" w:hAnsi="Book Antiqua" w:cs="QuarterlyTimes-Regular"/>
          <w:i/>
          <w:sz w:val="22"/>
          <w:szCs w:val="22"/>
          <w:u w:val="single"/>
        </w:rPr>
      </w:pPr>
      <w:r w:rsidRPr="00A16A91">
        <w:rPr>
          <w:rFonts w:ascii="Book Antiqua" w:hAnsi="Book Antiqua" w:cs="QuarterlyTimes-Regular"/>
          <w:i/>
          <w:sz w:val="22"/>
          <w:szCs w:val="22"/>
          <w:u w:val="single"/>
        </w:rPr>
        <w:t xml:space="preserve">Marking to market tries to reduce walk-away risk. When one party is losing badly in a futures contract, collecting these losses in daily increments avoids them throwing in the towel and saying “sue me” for a large loss. </w:t>
      </w:r>
    </w:p>
    <w:p w:rsidR="00866594" w:rsidRDefault="00866594" w:rsidP="00866594">
      <w:pPr>
        <w:pStyle w:val="NormalWeb"/>
        <w:spacing w:before="0" w:beforeAutospacing="0" w:after="0" w:afterAutospacing="0"/>
        <w:rPr>
          <w:rFonts w:ascii="Book Antiqua" w:hAnsi="Book Antiqua" w:cs="QuarterlyTimes-Regular"/>
          <w:i/>
          <w:sz w:val="22"/>
          <w:szCs w:val="22"/>
          <w:u w:val="single"/>
        </w:rPr>
      </w:pPr>
    </w:p>
    <w:p w:rsidR="00866594" w:rsidRDefault="00866594" w:rsidP="00866594">
      <w:pPr>
        <w:pStyle w:val="NormalWeb"/>
        <w:spacing w:before="0" w:beforeAutospacing="0" w:after="0" w:afterAutospacing="0"/>
        <w:rPr>
          <w:rFonts w:ascii="Book Antiqua" w:hAnsi="Book Antiqua" w:cs="QuarterlyTimes-Regular"/>
          <w:i/>
          <w:sz w:val="22"/>
          <w:szCs w:val="22"/>
          <w:u w:val="single"/>
        </w:rPr>
      </w:pPr>
      <w:r w:rsidRPr="00A16A91">
        <w:rPr>
          <w:rFonts w:ascii="Book Antiqua" w:hAnsi="Book Antiqua" w:cs="QuarterlyTimes-Regular"/>
          <w:i/>
          <w:sz w:val="22"/>
          <w:szCs w:val="22"/>
          <w:u w:val="single"/>
        </w:rPr>
        <w:t xml:space="preserve">Forward contracts don’t use </w:t>
      </w:r>
      <w:r>
        <w:rPr>
          <w:rFonts w:ascii="Book Antiqua" w:hAnsi="Book Antiqua" w:cs="QuarterlyTimes-Regular"/>
          <w:i/>
          <w:sz w:val="22"/>
          <w:szCs w:val="22"/>
          <w:u w:val="single"/>
        </w:rPr>
        <w:t xml:space="preserve">mark-to-market because forward contracts are “OTC” trades and not conducted on </w:t>
      </w:r>
      <w:r w:rsidRPr="00A16A91">
        <w:rPr>
          <w:rFonts w:ascii="Book Antiqua" w:hAnsi="Book Antiqua" w:cs="QuarterlyTimes-Regular"/>
          <w:i/>
          <w:sz w:val="22"/>
          <w:szCs w:val="22"/>
          <w:u w:val="single"/>
        </w:rPr>
        <w:t>exchanges</w:t>
      </w:r>
      <w:r>
        <w:rPr>
          <w:rFonts w:ascii="Book Antiqua" w:hAnsi="Book Antiqua" w:cs="QuarterlyTimes-Regular"/>
          <w:i/>
          <w:sz w:val="22"/>
          <w:szCs w:val="22"/>
          <w:u w:val="single"/>
        </w:rPr>
        <w:t xml:space="preserve"> like futures contracts are. Since exchanges</w:t>
      </w:r>
      <w:r w:rsidRPr="00A16A91">
        <w:rPr>
          <w:rFonts w:ascii="Book Antiqua" w:hAnsi="Book Antiqua" w:cs="QuarterlyTimes-Regular"/>
          <w:i/>
          <w:sz w:val="22"/>
          <w:szCs w:val="22"/>
          <w:u w:val="single"/>
        </w:rPr>
        <w:t xml:space="preserve"> are the mechanisms for collecting margin in the mark to market process</w:t>
      </w:r>
      <w:r>
        <w:rPr>
          <w:rFonts w:ascii="Book Antiqua" w:hAnsi="Book Antiqua" w:cs="QuarterlyTimes-Regular"/>
          <w:i/>
          <w:sz w:val="22"/>
          <w:szCs w:val="22"/>
          <w:u w:val="single"/>
        </w:rPr>
        <w:t>, only futures contracts have to contend with this process</w:t>
      </w:r>
      <w:r w:rsidRPr="00A16A91">
        <w:rPr>
          <w:rFonts w:ascii="Book Antiqua" w:hAnsi="Book Antiqua" w:cs="QuarterlyTimes-Regular"/>
          <w:i/>
          <w:sz w:val="22"/>
          <w:szCs w:val="22"/>
          <w:u w:val="single"/>
        </w:rPr>
        <w:t>.</w:t>
      </w:r>
      <w:r>
        <w:rPr>
          <w:rFonts w:ascii="Book Antiqua" w:hAnsi="Book Antiqua" w:cs="QuarterlyTimes-Regular"/>
          <w:i/>
          <w:sz w:val="22"/>
          <w:szCs w:val="22"/>
          <w:u w:val="single"/>
        </w:rPr>
        <w:t xml:space="preserve"> </w:t>
      </w:r>
    </w:p>
    <w:p w:rsidR="00866594" w:rsidRDefault="00866594">
      <w:bookmarkStart w:id="0" w:name="_GoBack"/>
      <w:bookmarkEnd w:id="0"/>
    </w:p>
    <w:p w:rsidR="00866594" w:rsidRPr="00866594" w:rsidRDefault="00866594" w:rsidP="0086659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QuarterlyTimes-Regular"/>
          <w:sz w:val="22"/>
          <w:szCs w:val="22"/>
        </w:rPr>
      </w:pPr>
      <w:r w:rsidRPr="00866594">
        <w:rPr>
          <w:rFonts w:ascii="Book Antiqua" w:hAnsi="Book Antiqua" w:cs="QuarterlyTimes-Regular"/>
          <w:sz w:val="22"/>
          <w:szCs w:val="22"/>
        </w:rPr>
        <w:t xml:space="preserve">Suppose it is mid-March and you wish to purchase five (5) June Treasury </w:t>
      </w:r>
      <w:proofErr w:type="gramStart"/>
      <w:r w:rsidRPr="00866594">
        <w:rPr>
          <w:rFonts w:ascii="Book Antiqua" w:hAnsi="Book Antiqua" w:cs="QuarterlyTimes-Regular"/>
          <w:sz w:val="22"/>
          <w:szCs w:val="22"/>
        </w:rPr>
        <w:t>Bond</w:t>
      </w:r>
      <w:proofErr w:type="gramEnd"/>
      <w:r w:rsidRPr="00866594">
        <w:rPr>
          <w:rFonts w:ascii="Book Antiqua" w:hAnsi="Book Antiqua" w:cs="QuarterlyTimes-Regular"/>
          <w:sz w:val="22"/>
          <w:szCs w:val="22"/>
        </w:rPr>
        <w:t xml:space="preserve"> futures contracts ($100,000 notional value per contract).</w:t>
      </w:r>
    </w:p>
    <w:p w:rsidR="00866594" w:rsidRDefault="00866594" w:rsidP="00866594">
      <w:pPr>
        <w:autoSpaceDE w:val="0"/>
        <w:autoSpaceDN w:val="0"/>
        <w:adjustRightInd w:val="0"/>
        <w:ind w:left="360"/>
        <w:jc w:val="both"/>
        <w:rPr>
          <w:rFonts w:ascii="Book Antiqua" w:hAnsi="Book Antiqua" w:cs="QuarterlyTimes-Regular"/>
          <w:sz w:val="22"/>
          <w:szCs w:val="22"/>
        </w:rPr>
      </w:pPr>
    </w:p>
    <w:p w:rsidR="00866594" w:rsidRPr="00E87337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sz w:val="22"/>
          <w:szCs w:val="22"/>
        </w:rPr>
      </w:pPr>
      <w:r>
        <w:rPr>
          <w:rFonts w:ascii="Book Antiqua" w:hAnsi="Book Antiqua" w:cs="QuarterlyTimes-Regular"/>
          <w:sz w:val="22"/>
          <w:szCs w:val="22"/>
        </w:rPr>
        <w:t>Given a 10% initial margin and a 75% maintenance margin, complete the following mark-to-market table. Assume that you remove any excess funds that are eligible for removal. Make sure to indicate what your initial and maintenance margins are for this trade.</w:t>
      </w: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sz w:val="22"/>
          <w:szCs w:val="22"/>
        </w:rPr>
      </w:pP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  <w:r w:rsidRPr="00CD38B9">
        <w:rPr>
          <w:rFonts w:ascii="Book Antiqua" w:hAnsi="Book Antiqua" w:cs="QuarterlyTimes-Regular"/>
          <w:b/>
          <w:i/>
          <w:sz w:val="22"/>
          <w:szCs w:val="22"/>
          <w:u w:val="single"/>
        </w:rPr>
        <w:t>Remember that these prices are quoted in “32nds.” So, 100-24 means 100 24/32 = 100.75% of par.</w:t>
      </w: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  <w:r>
        <w:rPr>
          <w:rFonts w:ascii="Book Antiqua" w:hAnsi="Book Antiqua" w:cs="QuarterlyTimes-Regular"/>
          <w:b/>
          <w:i/>
          <w:sz w:val="22"/>
          <w:szCs w:val="22"/>
          <w:u w:val="single"/>
        </w:rPr>
        <w:t>Each day’s Gain or Loss is calculated as follows (using Mar 16</w:t>
      </w:r>
      <w:r w:rsidRPr="00CD38B9">
        <w:rPr>
          <w:rFonts w:ascii="Book Antiqua" w:hAnsi="Book Antiqua" w:cs="QuarterlyTimes-Regular"/>
          <w:b/>
          <w:i/>
          <w:sz w:val="22"/>
          <w:szCs w:val="22"/>
          <w:u w:val="single"/>
          <w:vertAlign w:val="superscript"/>
        </w:rPr>
        <w:t>th</w:t>
      </w:r>
      <w:r>
        <w:rPr>
          <w:rFonts w:ascii="Book Antiqua" w:hAnsi="Book Antiqua" w:cs="QuarterlyTimes-Regular"/>
          <w:b/>
          <w:i/>
          <w:sz w:val="22"/>
          <w:szCs w:val="22"/>
          <w:u w:val="single"/>
        </w:rPr>
        <w:t xml:space="preserve"> as example):</w:t>
      </w: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  <w:r>
        <w:rPr>
          <w:rFonts w:ascii="Book Antiqua" w:hAnsi="Book Antiqua" w:cs="QuarterlyTimes-Regular"/>
          <w:b/>
          <w:i/>
          <w:sz w:val="22"/>
          <w:szCs w:val="22"/>
          <w:u w:val="single"/>
        </w:rPr>
        <w:t>(101.875%-100.75%) x 100,000 x 5 =</w:t>
      </w: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  <w:r>
        <w:rPr>
          <w:rFonts w:ascii="Book Antiqua" w:hAnsi="Book Antiqua" w:cs="QuarterlyTimes-Regular"/>
          <w:b/>
          <w:i/>
          <w:sz w:val="22"/>
          <w:szCs w:val="22"/>
          <w:u w:val="single"/>
        </w:rPr>
        <w:t>1.125% x 100,000 x 5 =</w:t>
      </w:r>
    </w:p>
    <w:p w:rsidR="00866594" w:rsidRPr="00CD38B9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  <w:r>
        <w:rPr>
          <w:rFonts w:ascii="Book Antiqua" w:hAnsi="Book Antiqua" w:cs="QuarterlyTimes-Regular"/>
          <w:b/>
          <w:i/>
          <w:sz w:val="22"/>
          <w:szCs w:val="22"/>
          <w:u w:val="single"/>
        </w:rPr>
        <w:t>.01125 x 100,000 x 5 = $5,625</w:t>
      </w:r>
    </w:p>
    <w:p w:rsidR="00866594" w:rsidRPr="00CD38B9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  <w:r>
        <w:rPr>
          <w:rFonts w:ascii="Book Antiqua" w:hAnsi="Book Antiqua" w:cs="QuarterlyTimes-Regular"/>
          <w:b/>
          <w:i/>
          <w:sz w:val="22"/>
          <w:szCs w:val="22"/>
          <w:u w:val="single"/>
        </w:rPr>
        <w:t>Initial Margin:</w:t>
      </w: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  <w:r>
        <w:rPr>
          <w:rFonts w:ascii="Book Antiqua" w:hAnsi="Book Antiqua" w:cs="QuarterlyTimes-Regular"/>
          <w:b/>
          <w:i/>
          <w:sz w:val="22"/>
          <w:szCs w:val="22"/>
          <w:u w:val="single"/>
        </w:rPr>
        <w:t>5 x 100,000 x 100.75% x 0.10 = $50,375</w:t>
      </w: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  <w:r>
        <w:rPr>
          <w:rFonts w:ascii="Book Antiqua" w:hAnsi="Book Antiqua" w:cs="QuarterlyTimes-Regular"/>
          <w:b/>
          <w:i/>
          <w:sz w:val="22"/>
          <w:szCs w:val="22"/>
          <w:u w:val="single"/>
        </w:rPr>
        <w:t>Maintenance Margin:</w:t>
      </w: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  <w:r>
        <w:rPr>
          <w:rFonts w:ascii="Book Antiqua" w:hAnsi="Book Antiqua" w:cs="QuarterlyTimes-Regular"/>
          <w:b/>
          <w:i/>
          <w:sz w:val="22"/>
          <w:szCs w:val="22"/>
          <w:u w:val="single"/>
        </w:rPr>
        <w:t>$50,375 x 0.75 = $37,781.25</w:t>
      </w:r>
    </w:p>
    <w:p w:rsidR="00866594" w:rsidRDefault="00866594">
      <w:pPr>
        <w:rPr>
          <w:rFonts w:ascii="Book Antiqua" w:hAnsi="Book Antiqua" w:cs="QuarterlyTimes-Regular"/>
          <w:b/>
          <w:i/>
          <w:sz w:val="22"/>
          <w:szCs w:val="22"/>
          <w:u w:val="single"/>
        </w:rPr>
      </w:pPr>
      <w:r>
        <w:rPr>
          <w:rFonts w:ascii="Book Antiqua" w:hAnsi="Book Antiqua" w:cs="QuarterlyTimes-Regular"/>
          <w:b/>
          <w:i/>
          <w:sz w:val="22"/>
          <w:szCs w:val="22"/>
          <w:u w:val="single"/>
        </w:rPr>
        <w:br w:type="page"/>
      </w: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</w:p>
    <w:p w:rsidR="00866594" w:rsidRDefault="00866594" w:rsidP="00866594">
      <w:pPr>
        <w:autoSpaceDE w:val="0"/>
        <w:autoSpaceDN w:val="0"/>
        <w:adjustRightInd w:val="0"/>
        <w:jc w:val="both"/>
        <w:rPr>
          <w:rFonts w:ascii="Book Antiqua" w:hAnsi="Book Antiqua" w:cs="QuarterlyTimes-Regular"/>
          <w:sz w:val="22"/>
          <w:szCs w:val="22"/>
        </w:rPr>
      </w:pPr>
    </w:p>
    <w:tbl>
      <w:tblPr>
        <w:tblW w:w="5267" w:type="pct"/>
        <w:tblInd w:w="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145"/>
        <w:gridCol w:w="1053"/>
        <w:gridCol w:w="1330"/>
        <w:gridCol w:w="1446"/>
        <w:gridCol w:w="1606"/>
        <w:gridCol w:w="2176"/>
      </w:tblGrid>
      <w:tr w:rsidR="00866594" w:rsidRPr="00065462" w:rsidTr="00883B6F">
        <w:trPr>
          <w:trHeight w:val="1783"/>
        </w:trPr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 w:rsidRPr="00065462">
              <w:rPr>
                <w:rFonts w:ascii="Book Antiqua" w:hAnsi="Book Antiqua" w:cs="QuarterlyTimes-Regular"/>
                <w:sz w:val="22"/>
                <w:szCs w:val="22"/>
              </w:rPr>
              <w:t>Day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594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 w:rsidRPr="00065462">
              <w:rPr>
                <w:rFonts w:ascii="Book Antiqua" w:hAnsi="Book Antiqua" w:cs="QuarterlyTimes-Regular"/>
                <w:sz w:val="22"/>
                <w:szCs w:val="22"/>
              </w:rPr>
              <w:t>Futures Price</w:t>
            </w:r>
          </w:p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(in 32nds)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594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 w:rsidRPr="00065462">
              <w:rPr>
                <w:rFonts w:ascii="Book Antiqua" w:hAnsi="Book Antiqua" w:cs="QuarterlyTimes-Regular"/>
                <w:sz w:val="22"/>
                <w:szCs w:val="22"/>
              </w:rPr>
              <w:t>Futures Price</w:t>
            </w:r>
          </w:p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(in decimals)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 w:rsidRPr="00065462">
              <w:rPr>
                <w:rFonts w:ascii="Book Antiqua" w:hAnsi="Book Antiqua" w:cs="QuarterlyTimes-Regular"/>
                <w:sz w:val="22"/>
                <w:szCs w:val="22"/>
              </w:rPr>
              <w:t>Daily Gain/Loss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 w:rsidRPr="00065462">
              <w:rPr>
                <w:rFonts w:ascii="Book Antiqua" w:hAnsi="Book Antiqua" w:cs="QuarterlyTimes-Regular"/>
                <w:sz w:val="22"/>
                <w:szCs w:val="22"/>
              </w:rPr>
              <w:t>Cumulative Gain/Loss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 w:rsidRPr="00065462">
              <w:rPr>
                <w:rFonts w:ascii="Book Antiqua" w:hAnsi="Book Antiqua" w:cs="QuarterlyTimes-Regular"/>
                <w:sz w:val="22"/>
                <w:szCs w:val="22"/>
              </w:rPr>
              <w:t>Margin Account Balance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Maintenance Margin =</w:t>
            </w:r>
          </w:p>
          <w:p w:rsidR="00866594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</w:p>
          <w:p w:rsidR="00866594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 w:rsidRPr="00065462">
              <w:rPr>
                <w:rFonts w:ascii="Book Antiqua" w:hAnsi="Book Antiqua" w:cs="QuarterlyTimes-Regular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QuarterlyTimes-Regular"/>
                <w:sz w:val="22"/>
                <w:szCs w:val="22"/>
              </w:rPr>
              <w:t>$37781.25</w:t>
            </w:r>
          </w:p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</w:p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(indicate any deposits or withdrawals here)</w:t>
            </w:r>
          </w:p>
        </w:tc>
      </w:tr>
      <w:tr w:rsidR="00866594" w:rsidRPr="00065462" w:rsidTr="00883B6F">
        <w:trPr>
          <w:trHeight w:val="775"/>
        </w:trPr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 w:rsidRPr="00065462">
              <w:rPr>
                <w:rFonts w:ascii="Book Antiqua" w:hAnsi="Book Antiqua" w:cs="QuarterlyTimes-Regular"/>
                <w:sz w:val="22"/>
                <w:szCs w:val="22"/>
              </w:rPr>
              <w:t>Initial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100-24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100.75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 w:rsidRPr="00065462">
              <w:rPr>
                <w:rFonts w:ascii="Book Antiqua" w:hAnsi="Book Antiqua" w:cs="QuarterlyTimes-Regular"/>
                <w:sz w:val="22"/>
                <w:szCs w:val="22"/>
              </w:rPr>
              <w:t>N/A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 w:rsidRPr="00065462">
              <w:rPr>
                <w:rFonts w:ascii="Book Antiqua" w:hAnsi="Book Antiqua" w:cs="QuarterlyTimes-Regular"/>
                <w:sz w:val="22"/>
                <w:szCs w:val="22"/>
              </w:rPr>
              <w:t>N/A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50375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 w:rsidRPr="00065462">
              <w:rPr>
                <w:rFonts w:ascii="Book Antiqua" w:hAnsi="Book Antiqua" w:cs="QuarterlyTimes-Regular"/>
                <w:sz w:val="22"/>
                <w:szCs w:val="22"/>
              </w:rPr>
              <w:t>N/A</w:t>
            </w:r>
          </w:p>
        </w:tc>
      </w:tr>
      <w:tr w:rsidR="00866594" w:rsidRPr="00065462" w:rsidTr="00883B6F">
        <w:trPr>
          <w:trHeight w:val="775"/>
        </w:trPr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Mar</w:t>
            </w:r>
            <w:r w:rsidRPr="00065462">
              <w:rPr>
                <w:rFonts w:ascii="Book Antiqua" w:hAnsi="Book Antiqua" w:cs="QuarterlyTimes-Regular"/>
                <w:sz w:val="22"/>
                <w:szCs w:val="22"/>
              </w:rPr>
              <w:t xml:space="preserve"> 16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101-28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594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101.875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5625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5625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56,000 – 5625 = 50375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Withdrawal             -5625</w:t>
            </w:r>
          </w:p>
        </w:tc>
      </w:tr>
      <w:tr w:rsidR="00866594" w:rsidRPr="00065462" w:rsidTr="00883B6F">
        <w:trPr>
          <w:trHeight w:val="775"/>
        </w:trPr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 xml:space="preserve">Mar </w:t>
            </w:r>
            <w:r w:rsidRPr="00065462">
              <w:rPr>
                <w:rFonts w:ascii="Book Antiqua" w:hAnsi="Book Antiqua" w:cs="QuarterlyTimes-Regular"/>
                <w:sz w:val="22"/>
                <w:szCs w:val="22"/>
              </w:rPr>
              <w:t>17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98-10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594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98.3125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-17812.5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-12187.5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32,562.50 + 17812.50 = 50,375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Deposit 17,812.50</w:t>
            </w:r>
          </w:p>
        </w:tc>
      </w:tr>
      <w:tr w:rsidR="00866594" w:rsidRPr="00065462" w:rsidTr="00883B6F">
        <w:trPr>
          <w:trHeight w:val="775"/>
        </w:trPr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Mar</w:t>
            </w:r>
            <w:r w:rsidRPr="00065462">
              <w:rPr>
                <w:rFonts w:ascii="Book Antiqua" w:hAnsi="Book Antiqua" w:cs="QuarterlyTimes-Regular"/>
                <w:sz w:val="22"/>
                <w:szCs w:val="22"/>
              </w:rPr>
              <w:t xml:space="preserve"> 18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97-24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594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97.75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-2812.5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-15000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47562.5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866594" w:rsidRPr="00065462" w:rsidTr="00883B6F">
        <w:trPr>
          <w:trHeight w:val="775"/>
        </w:trPr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Mar</w:t>
            </w:r>
            <w:r w:rsidRPr="00065462">
              <w:rPr>
                <w:rFonts w:ascii="Book Antiqua" w:hAnsi="Book Antiqua" w:cs="QuarterlyTimes-Regular"/>
                <w:sz w:val="22"/>
                <w:szCs w:val="22"/>
              </w:rPr>
              <w:t xml:space="preserve"> 19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99-04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594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99.125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6875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-8125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54,437.50 – 4062.50 = 50375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Withdrawal</w:t>
            </w:r>
          </w:p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-4062.5</w:t>
            </w:r>
          </w:p>
        </w:tc>
      </w:tr>
      <w:tr w:rsidR="00866594" w:rsidRPr="00065462" w:rsidTr="00883B6F">
        <w:trPr>
          <w:trHeight w:val="775"/>
        </w:trPr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Mar</w:t>
            </w:r>
            <w:r w:rsidRPr="00065462">
              <w:rPr>
                <w:rFonts w:ascii="Book Antiqua" w:hAnsi="Book Antiqua" w:cs="QuarterlyTimes-Regular"/>
                <w:sz w:val="22"/>
                <w:szCs w:val="22"/>
              </w:rPr>
              <w:t xml:space="preserve"> 20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594" w:rsidRPr="00065462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98-14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594" w:rsidRDefault="00866594" w:rsidP="00883B6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QuarterlyTimes-Regular"/>
                <w:sz w:val="22"/>
                <w:szCs w:val="22"/>
              </w:rPr>
            </w:pPr>
            <w:r>
              <w:rPr>
                <w:rFonts w:ascii="Book Antiqua" w:hAnsi="Book Antiqua" w:cs="QuarterlyTimes-Regular"/>
                <w:sz w:val="22"/>
                <w:szCs w:val="22"/>
              </w:rPr>
              <w:t>98.4375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-3437.5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-11562.5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46937.5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66594" w:rsidRDefault="00866594" w:rsidP="00883B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866594" w:rsidRDefault="00866594" w:rsidP="00866594">
      <w:pPr>
        <w:autoSpaceDE w:val="0"/>
        <w:autoSpaceDN w:val="0"/>
        <w:adjustRightInd w:val="0"/>
        <w:jc w:val="both"/>
        <w:rPr>
          <w:rFonts w:ascii="Book Antiqua" w:hAnsi="Book Antiqua" w:cs="QuarterlyTimes-Regular"/>
          <w:sz w:val="22"/>
          <w:szCs w:val="22"/>
        </w:rPr>
      </w:pPr>
    </w:p>
    <w:p w:rsidR="00866594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 w:cs="QuarterlyTimes-Regular"/>
          <w:sz w:val="22"/>
          <w:szCs w:val="22"/>
        </w:rPr>
      </w:pPr>
      <w:r>
        <w:rPr>
          <w:rFonts w:ascii="Book Antiqua" w:hAnsi="Book Antiqua" w:cs="QuarterlyTimes-Regular"/>
          <w:sz w:val="22"/>
          <w:szCs w:val="22"/>
        </w:rPr>
        <w:t>If you wanted to take your profit or loss at the end of March 20</w:t>
      </w:r>
      <w:r w:rsidRPr="0027558B">
        <w:rPr>
          <w:rFonts w:ascii="Book Antiqua" w:hAnsi="Book Antiqua" w:cs="QuarterlyTimes-Regular"/>
          <w:sz w:val="22"/>
          <w:szCs w:val="22"/>
          <w:vertAlign w:val="superscript"/>
        </w:rPr>
        <w:t>th</w:t>
      </w:r>
      <w:r>
        <w:rPr>
          <w:rFonts w:ascii="Book Antiqua" w:hAnsi="Book Antiqua" w:cs="QuarterlyTimes-Regular"/>
          <w:sz w:val="22"/>
          <w:szCs w:val="22"/>
        </w:rPr>
        <w:t xml:space="preserve">, what steps would you take to exit the market? </w:t>
      </w:r>
    </w:p>
    <w:p w:rsidR="00866594" w:rsidRPr="00E87337" w:rsidRDefault="00866594" w:rsidP="00866594">
      <w:pPr>
        <w:autoSpaceDE w:val="0"/>
        <w:autoSpaceDN w:val="0"/>
        <w:adjustRightInd w:val="0"/>
        <w:jc w:val="both"/>
        <w:rPr>
          <w:rFonts w:ascii="Book Antiqua" w:hAnsi="Book Antiqua" w:cs="QuarterlyTimes-Regular"/>
          <w:b/>
          <w:i/>
          <w:sz w:val="22"/>
          <w:szCs w:val="22"/>
          <w:u w:val="single"/>
        </w:rPr>
      </w:pPr>
    </w:p>
    <w:p w:rsidR="00866594" w:rsidRPr="00E87337" w:rsidRDefault="00866594" w:rsidP="00866594">
      <w:pPr>
        <w:autoSpaceDE w:val="0"/>
        <w:autoSpaceDN w:val="0"/>
        <w:adjustRightInd w:val="0"/>
        <w:ind w:left="144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  <w:r w:rsidRPr="00E87337">
        <w:rPr>
          <w:b/>
          <w:i/>
          <w:u w:val="single"/>
        </w:rPr>
        <w:t>Short 5 identical June Treasury Bond Contracts.</w:t>
      </w:r>
    </w:p>
    <w:p w:rsidR="00866594" w:rsidRDefault="00866594"/>
    <w:sectPr w:rsidR="00866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rterlyTime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102"/>
    <w:multiLevelType w:val="hybridMultilevel"/>
    <w:tmpl w:val="738C2D10"/>
    <w:lvl w:ilvl="0" w:tplc="6DD2A65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E42F4"/>
    <w:multiLevelType w:val="hybridMultilevel"/>
    <w:tmpl w:val="35DCB0D0"/>
    <w:lvl w:ilvl="0" w:tplc="D8D2B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CF0440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94"/>
    <w:rsid w:val="005229D9"/>
    <w:rsid w:val="007B710F"/>
    <w:rsid w:val="00866594"/>
    <w:rsid w:val="00AC3FA0"/>
    <w:rsid w:val="00D6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27C2E-C167-40BC-ACD5-012FC0C7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66594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866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wreese</dc:creator>
  <cp:keywords/>
  <dc:description/>
  <cp:lastModifiedBy>wreese</cp:lastModifiedBy>
  <cp:revision>1</cp:revision>
  <dcterms:created xsi:type="dcterms:W3CDTF">2019-05-04T03:42:00Z</dcterms:created>
  <dcterms:modified xsi:type="dcterms:W3CDTF">2019-05-04T03:48:00Z</dcterms:modified>
</cp:coreProperties>
</file>