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20" w:rsidRPr="00C6583E" w:rsidRDefault="00685D20" w:rsidP="00685D20">
      <w:pPr>
        <w:pStyle w:val="NoSpacing"/>
        <w:jc w:val="center"/>
        <w:rPr>
          <w:b/>
          <w:sz w:val="28"/>
          <w:szCs w:val="28"/>
        </w:rPr>
      </w:pPr>
      <w:r w:rsidRPr="00C6583E">
        <w:rPr>
          <w:b/>
          <w:sz w:val="28"/>
          <w:szCs w:val="28"/>
        </w:rPr>
        <w:t>Corporate Risk Management</w:t>
      </w:r>
      <w:bookmarkStart w:id="0" w:name="_GoBack"/>
      <w:bookmarkEnd w:id="0"/>
    </w:p>
    <w:p w:rsidR="00685D20" w:rsidRPr="00C6583E" w:rsidRDefault="00965DFF" w:rsidP="00685D20">
      <w:pPr>
        <w:pStyle w:val="NoSpacing"/>
        <w:jc w:val="center"/>
        <w:rPr>
          <w:b/>
          <w:sz w:val="28"/>
          <w:szCs w:val="28"/>
        </w:rPr>
      </w:pPr>
      <w:r>
        <w:rPr>
          <w:b/>
          <w:sz w:val="28"/>
          <w:szCs w:val="28"/>
        </w:rPr>
        <w:t>Homework 2</w:t>
      </w:r>
    </w:p>
    <w:p w:rsidR="00685D20" w:rsidRDefault="00685D20" w:rsidP="00685D20">
      <w:pPr>
        <w:pStyle w:val="NoSpacing"/>
      </w:pPr>
    </w:p>
    <w:p w:rsidR="00AA4605" w:rsidRPr="002B400C" w:rsidRDefault="008B4E24" w:rsidP="00726248">
      <w:pPr>
        <w:pStyle w:val="NoSpacing"/>
        <w:numPr>
          <w:ilvl w:val="0"/>
          <w:numId w:val="1"/>
        </w:numPr>
        <w:rPr>
          <w:sz w:val="24"/>
          <w:szCs w:val="24"/>
        </w:rPr>
      </w:pPr>
      <w:r>
        <w:rPr>
          <w:sz w:val="24"/>
          <w:szCs w:val="24"/>
        </w:rPr>
        <w:t>(15</w:t>
      </w:r>
      <w:r w:rsidR="00685D20">
        <w:rPr>
          <w:sz w:val="24"/>
          <w:szCs w:val="24"/>
        </w:rPr>
        <w:t xml:space="preserve"> pts) </w:t>
      </w:r>
      <w:r w:rsidR="00AA4605" w:rsidRPr="002B400C">
        <w:rPr>
          <w:sz w:val="24"/>
          <w:szCs w:val="24"/>
        </w:rPr>
        <w:t>A non-dividend paying stock is currently priced at $30 per share. You figure that one year from now, the price of the stock will have either gone up to $45 per share or down to $25 per share. The risk-free, continuously compounded interest rate is 4 percent.</w:t>
      </w:r>
    </w:p>
    <w:p w:rsidR="00AA4605" w:rsidRPr="002B400C" w:rsidRDefault="00AA4605" w:rsidP="00AA4605">
      <w:pPr>
        <w:pStyle w:val="NoSpacing"/>
        <w:rPr>
          <w:sz w:val="24"/>
          <w:szCs w:val="24"/>
        </w:rPr>
      </w:pPr>
    </w:p>
    <w:p w:rsidR="00AA4605" w:rsidRPr="002B400C" w:rsidRDefault="00AA4605" w:rsidP="003501A0">
      <w:pPr>
        <w:pStyle w:val="NoSpacing"/>
        <w:ind w:left="360"/>
        <w:rPr>
          <w:sz w:val="24"/>
          <w:szCs w:val="24"/>
        </w:rPr>
      </w:pPr>
      <w:r w:rsidRPr="002B400C">
        <w:rPr>
          <w:sz w:val="24"/>
          <w:szCs w:val="24"/>
        </w:rPr>
        <w:t xml:space="preserve">Use the Two-State (Binomial) Option Pricing Model to determine the price of a call with a strike of $30 and an expiration date one year from now. </w:t>
      </w:r>
    </w:p>
    <w:p w:rsidR="00AA4605" w:rsidRPr="002B400C" w:rsidRDefault="00AA4605" w:rsidP="003501A0">
      <w:pPr>
        <w:pStyle w:val="NoSpacing"/>
        <w:ind w:left="360"/>
        <w:rPr>
          <w:sz w:val="24"/>
          <w:szCs w:val="24"/>
        </w:rPr>
      </w:pPr>
    </w:p>
    <w:p w:rsidR="00AA4605" w:rsidRPr="002B400C" w:rsidRDefault="00AA4605" w:rsidP="003501A0">
      <w:pPr>
        <w:pStyle w:val="NoSpacing"/>
        <w:ind w:left="360"/>
        <w:rPr>
          <w:sz w:val="24"/>
          <w:szCs w:val="24"/>
        </w:rPr>
      </w:pPr>
      <w:r w:rsidRPr="002B400C">
        <w:rPr>
          <w:sz w:val="24"/>
          <w:szCs w:val="24"/>
        </w:rPr>
        <w:t>Use your answer above and the principle of put-call parity to determine the price of a put with a strike price of $30 and an expiration date one year from now.</w:t>
      </w:r>
    </w:p>
    <w:p w:rsidR="003501A0" w:rsidRPr="002B400C" w:rsidRDefault="003501A0" w:rsidP="003501A0">
      <w:pPr>
        <w:pStyle w:val="NoSpacing"/>
        <w:rPr>
          <w:sz w:val="24"/>
          <w:szCs w:val="24"/>
        </w:rPr>
      </w:pPr>
    </w:p>
    <w:p w:rsidR="003501A0" w:rsidRPr="002B400C" w:rsidRDefault="003501A0" w:rsidP="003501A0">
      <w:pPr>
        <w:pStyle w:val="NoSpacing"/>
        <w:rPr>
          <w:sz w:val="24"/>
          <w:szCs w:val="24"/>
        </w:rPr>
      </w:pPr>
    </w:p>
    <w:p w:rsidR="008C5E0F" w:rsidRPr="002B400C" w:rsidRDefault="008B4E24" w:rsidP="003501A0">
      <w:pPr>
        <w:pStyle w:val="NoSpacing"/>
        <w:numPr>
          <w:ilvl w:val="0"/>
          <w:numId w:val="1"/>
        </w:numPr>
        <w:rPr>
          <w:sz w:val="24"/>
          <w:szCs w:val="24"/>
        </w:rPr>
      </w:pPr>
      <w:r>
        <w:rPr>
          <w:sz w:val="24"/>
          <w:szCs w:val="24"/>
        </w:rPr>
        <w:t>(15</w:t>
      </w:r>
      <w:r w:rsidR="00685D20">
        <w:rPr>
          <w:sz w:val="24"/>
          <w:szCs w:val="24"/>
        </w:rPr>
        <w:t xml:space="preserve"> pts) </w:t>
      </w:r>
      <w:r w:rsidR="008C5E0F" w:rsidRPr="002B400C">
        <w:rPr>
          <w:sz w:val="24"/>
          <w:szCs w:val="24"/>
        </w:rPr>
        <w:t xml:space="preserve">Suppose you </w:t>
      </w:r>
      <w:r w:rsidR="008C5E0F" w:rsidRPr="002B400C">
        <w:rPr>
          <w:sz w:val="24"/>
          <w:szCs w:val="24"/>
          <w:u w:val="single"/>
        </w:rPr>
        <w:t>wrote</w:t>
      </w:r>
      <w:r w:rsidR="008C5E0F" w:rsidRPr="002B400C">
        <w:rPr>
          <w:sz w:val="24"/>
          <w:szCs w:val="24"/>
        </w:rPr>
        <w:t xml:space="preserve"> a 180-day call option on General Motors stock with an exercise price of $50, and also </w:t>
      </w:r>
      <w:r w:rsidR="008C5E0F" w:rsidRPr="002B400C">
        <w:rPr>
          <w:sz w:val="24"/>
          <w:szCs w:val="24"/>
          <w:u w:val="single"/>
        </w:rPr>
        <w:t>bought</w:t>
      </w:r>
      <w:r w:rsidR="008C5E0F" w:rsidRPr="002B400C">
        <w:rPr>
          <w:sz w:val="24"/>
          <w:szCs w:val="24"/>
        </w:rPr>
        <w:t xml:space="preserve"> a put with an exercise price of $45 on the same stock with the same expiration date.  Both are European options. Draw the payoff diagram with the stock price on the X-axis and the </w:t>
      </w:r>
      <w:r w:rsidR="008C5E0F" w:rsidRPr="002B400C">
        <w:rPr>
          <w:i/>
          <w:sz w:val="24"/>
          <w:szCs w:val="24"/>
        </w:rPr>
        <w:t>total</w:t>
      </w:r>
      <w:r w:rsidR="008C5E0F" w:rsidRPr="002B400C">
        <w:rPr>
          <w:sz w:val="24"/>
          <w:szCs w:val="24"/>
        </w:rPr>
        <w:t xml:space="preserve"> payoff (from both options) on the expiration date on the Y-axis. What must be your expectations about General Motors stock that would cause you to pursue the above strategy? Draw the payoff diagram below. </w:t>
      </w:r>
      <w:r w:rsidR="008C5E0F" w:rsidRPr="002B400C">
        <w:rPr>
          <w:b/>
          <w:sz w:val="24"/>
          <w:szCs w:val="24"/>
        </w:rPr>
        <w:t>Be sure to place the correct dollar amount at every important point on the diagram</w:t>
      </w:r>
      <w:r w:rsidR="008C5E0F" w:rsidRPr="002B400C">
        <w:rPr>
          <w:sz w:val="24"/>
          <w:szCs w:val="24"/>
        </w:rPr>
        <w:t>. Briefly describe your expectations for GM right below the diagram.</w:t>
      </w:r>
    </w:p>
    <w:p w:rsidR="002B400C" w:rsidRPr="002B400C" w:rsidRDefault="002B400C">
      <w:pPr>
        <w:rPr>
          <w:sz w:val="24"/>
          <w:szCs w:val="24"/>
        </w:rPr>
      </w:pPr>
    </w:p>
    <w:p w:rsidR="002B400C" w:rsidRDefault="00685D20" w:rsidP="002B400C">
      <w:pPr>
        <w:pStyle w:val="ListParagraph"/>
        <w:numPr>
          <w:ilvl w:val="0"/>
          <w:numId w:val="1"/>
        </w:numPr>
        <w:rPr>
          <w:sz w:val="24"/>
          <w:szCs w:val="24"/>
        </w:rPr>
      </w:pPr>
      <w:r>
        <w:rPr>
          <w:sz w:val="24"/>
          <w:szCs w:val="24"/>
        </w:rPr>
        <w:t xml:space="preserve">(10 pts) </w:t>
      </w:r>
      <w:r w:rsidR="002B400C" w:rsidRPr="002B400C">
        <w:rPr>
          <w:sz w:val="24"/>
          <w:szCs w:val="24"/>
        </w:rPr>
        <w:t>A stock is</w:t>
      </w:r>
      <w:r w:rsidR="002B400C">
        <w:rPr>
          <w:sz w:val="24"/>
          <w:szCs w:val="24"/>
        </w:rPr>
        <w:t xml:space="preserve"> currently priced at $80 per share. The continuously compounded annual risk-free rate of interest is 2 percent. You observe calls with an expiration date six months from now and a strike price of $70 being sold for $15. What is the implied volatility of this stock over the next six months?</w:t>
      </w:r>
    </w:p>
    <w:p w:rsidR="002B400C" w:rsidRPr="002B400C" w:rsidRDefault="002B400C" w:rsidP="002B400C">
      <w:pPr>
        <w:rPr>
          <w:sz w:val="24"/>
          <w:szCs w:val="24"/>
        </w:rPr>
      </w:pPr>
    </w:p>
    <w:p w:rsidR="002B400C" w:rsidRDefault="00EE46A9" w:rsidP="002B400C">
      <w:pPr>
        <w:pStyle w:val="ListParagraph"/>
        <w:numPr>
          <w:ilvl w:val="0"/>
          <w:numId w:val="1"/>
        </w:numPr>
        <w:rPr>
          <w:sz w:val="24"/>
          <w:szCs w:val="24"/>
        </w:rPr>
      </w:pPr>
      <w:r>
        <w:rPr>
          <w:sz w:val="24"/>
          <w:szCs w:val="24"/>
        </w:rPr>
        <w:t>(10</w:t>
      </w:r>
      <w:r w:rsidR="00685D20">
        <w:rPr>
          <w:sz w:val="24"/>
          <w:szCs w:val="24"/>
        </w:rPr>
        <w:t xml:space="preserve"> pts) </w:t>
      </w:r>
      <w:r w:rsidR="002B400C">
        <w:rPr>
          <w:sz w:val="24"/>
          <w:szCs w:val="24"/>
        </w:rPr>
        <w:t>The same stock has put options being sold at a price of $7.80 with the same exercise price and the same risk-free rate, but they expire in one year. What is the implied volatility of the stock over the next six months? How do you interpret your answer with respect to the results of #3 above?</w:t>
      </w:r>
    </w:p>
    <w:p w:rsidR="00A13B1B" w:rsidRPr="00A13B1B" w:rsidRDefault="00A13B1B" w:rsidP="00A13B1B">
      <w:pPr>
        <w:pStyle w:val="ListParagraph"/>
        <w:rPr>
          <w:sz w:val="24"/>
          <w:szCs w:val="24"/>
        </w:rPr>
      </w:pPr>
    </w:p>
    <w:p w:rsidR="00A13B1B" w:rsidRDefault="00A13B1B">
      <w:pPr>
        <w:rPr>
          <w:rFonts w:ascii="Times New Roman" w:eastAsia="Times New Roman" w:hAnsi="Times New Roman" w:cs="Times New Roman"/>
          <w:sz w:val="24"/>
          <w:szCs w:val="24"/>
        </w:rPr>
      </w:pPr>
      <w:r>
        <w:rPr>
          <w:sz w:val="24"/>
          <w:szCs w:val="24"/>
        </w:rPr>
        <w:br w:type="page"/>
      </w:r>
    </w:p>
    <w:p w:rsidR="00965DFF" w:rsidRPr="00965DFF" w:rsidRDefault="00965DFF" w:rsidP="00965DFF">
      <w:pPr>
        <w:pStyle w:val="ListParagraph"/>
        <w:numPr>
          <w:ilvl w:val="0"/>
          <w:numId w:val="1"/>
        </w:numPr>
        <w:autoSpaceDE w:val="0"/>
        <w:autoSpaceDN w:val="0"/>
        <w:adjustRightInd w:val="0"/>
        <w:jc w:val="both"/>
        <w:rPr>
          <w:sz w:val="24"/>
          <w:szCs w:val="24"/>
        </w:rPr>
      </w:pPr>
      <w:r w:rsidRPr="00965DFF">
        <w:rPr>
          <w:sz w:val="24"/>
          <w:szCs w:val="24"/>
        </w:rPr>
        <w:lastRenderedPageBreak/>
        <w:t>(25 points)  Suppose on November 17, you buy fifteen (15) December Copper Futures contracts, which have a 100-ounce contract size.  Your purchase price was $20 per ounce. Complete the following “Marking-to-Market” table if the Maintenance margin is 75% of the initial 5% margin. Assume that you withdraw any funds eligible for withdrawal due to accrued gains.</w:t>
      </w:r>
    </w:p>
    <w:p w:rsidR="00965DFF" w:rsidRPr="00965DFF" w:rsidRDefault="00965DFF" w:rsidP="00965DFF">
      <w:pPr>
        <w:autoSpaceDE w:val="0"/>
        <w:autoSpaceDN w:val="0"/>
        <w:adjustRightInd w:val="0"/>
        <w:jc w:val="both"/>
        <w:rPr>
          <w:rFonts w:ascii="Times New Roman" w:hAnsi="Times New Roman" w:cs="Times New Roman"/>
          <w:sz w:val="24"/>
          <w:szCs w:val="24"/>
        </w:rPr>
      </w:pPr>
    </w:p>
    <w:p w:rsidR="00965DFF" w:rsidRPr="00965DFF" w:rsidRDefault="00965DFF" w:rsidP="00965DF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965DFF">
        <w:rPr>
          <w:rFonts w:ascii="Times New Roman" w:hAnsi="Times New Roman" w:cs="Times New Roman"/>
          <w:sz w:val="24"/>
          <w:szCs w:val="24"/>
        </w:rPr>
        <w:t>What are the initial and maintenance margin amounts?</w:t>
      </w:r>
    </w:p>
    <w:p w:rsidR="00965DFF" w:rsidRPr="00965DFF" w:rsidRDefault="00965DFF" w:rsidP="00965DF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965DFF">
        <w:rPr>
          <w:rFonts w:ascii="Times New Roman" w:hAnsi="Times New Roman" w:cs="Times New Roman"/>
          <w:sz w:val="24"/>
          <w:szCs w:val="24"/>
        </w:rPr>
        <w:t>At the end of November 21</w:t>
      </w:r>
      <w:r w:rsidRPr="00965DFF">
        <w:rPr>
          <w:rFonts w:ascii="Times New Roman" w:hAnsi="Times New Roman" w:cs="Times New Roman"/>
          <w:sz w:val="24"/>
          <w:szCs w:val="24"/>
          <w:vertAlign w:val="superscript"/>
        </w:rPr>
        <w:t>st</w:t>
      </w:r>
      <w:r w:rsidRPr="00965DFF">
        <w:rPr>
          <w:rFonts w:ascii="Times New Roman" w:hAnsi="Times New Roman" w:cs="Times New Roman"/>
          <w:sz w:val="24"/>
          <w:szCs w:val="24"/>
        </w:rPr>
        <w:t>, what is the total of funds withdrawn due to gains, if any?</w:t>
      </w:r>
    </w:p>
    <w:p w:rsidR="00965DFF" w:rsidRPr="00965DFF" w:rsidRDefault="00965DFF" w:rsidP="00965DF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965DFF">
        <w:rPr>
          <w:rFonts w:ascii="Times New Roman" w:hAnsi="Times New Roman" w:cs="Times New Roman"/>
          <w:sz w:val="24"/>
          <w:szCs w:val="24"/>
        </w:rPr>
        <w:t>If you wanted to close out your position at the end of November 21</w:t>
      </w:r>
      <w:r w:rsidRPr="00965DFF">
        <w:rPr>
          <w:rFonts w:ascii="Times New Roman" w:hAnsi="Times New Roman" w:cs="Times New Roman"/>
          <w:sz w:val="24"/>
          <w:szCs w:val="24"/>
          <w:vertAlign w:val="superscript"/>
        </w:rPr>
        <w:t>st</w:t>
      </w:r>
      <w:r w:rsidRPr="00965DFF">
        <w:rPr>
          <w:rFonts w:ascii="Times New Roman" w:hAnsi="Times New Roman" w:cs="Times New Roman"/>
          <w:sz w:val="24"/>
          <w:szCs w:val="24"/>
        </w:rPr>
        <w:t xml:space="preserve">, what would you do? </w:t>
      </w:r>
    </w:p>
    <w:p w:rsidR="00965DFF" w:rsidRDefault="00965DFF" w:rsidP="00965DFF">
      <w:pPr>
        <w:autoSpaceDE w:val="0"/>
        <w:autoSpaceDN w:val="0"/>
        <w:adjustRightInd w:val="0"/>
        <w:jc w:val="both"/>
        <w:rPr>
          <w:rFonts w:ascii="Book Antiqua" w:hAnsi="Book Antiqua" w:cs="QuarterlyTimes-Regul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6"/>
        <w:gridCol w:w="1476"/>
        <w:gridCol w:w="1476"/>
        <w:gridCol w:w="1476"/>
        <w:gridCol w:w="1476"/>
        <w:gridCol w:w="1476"/>
      </w:tblGrid>
      <w:tr w:rsidR="00965DFF" w:rsidRPr="00D57160" w:rsidTr="00464D71">
        <w:trPr>
          <w:jc w:val="center"/>
        </w:trPr>
        <w:tc>
          <w:tcPr>
            <w:tcW w:w="1476" w:type="dxa"/>
            <w:vAlign w:val="center"/>
          </w:tcPr>
          <w:p w:rsidR="00965DFF" w:rsidRPr="00D57160" w:rsidRDefault="00965DFF" w:rsidP="00464D71">
            <w:pPr>
              <w:jc w:val="center"/>
            </w:pPr>
            <w:r w:rsidRPr="00D57160">
              <w:t>Day</w:t>
            </w:r>
          </w:p>
        </w:tc>
        <w:tc>
          <w:tcPr>
            <w:tcW w:w="1476" w:type="dxa"/>
            <w:vAlign w:val="center"/>
          </w:tcPr>
          <w:p w:rsidR="00965DFF" w:rsidRPr="00D57160" w:rsidRDefault="00965DFF" w:rsidP="00464D71">
            <w:pPr>
              <w:jc w:val="center"/>
            </w:pPr>
            <w:r w:rsidRPr="00D57160">
              <w:t>Futures Price</w:t>
            </w:r>
          </w:p>
        </w:tc>
        <w:tc>
          <w:tcPr>
            <w:tcW w:w="1476" w:type="dxa"/>
            <w:vAlign w:val="center"/>
          </w:tcPr>
          <w:p w:rsidR="00965DFF" w:rsidRPr="00D57160" w:rsidRDefault="00965DFF" w:rsidP="00464D71">
            <w:pPr>
              <w:jc w:val="center"/>
            </w:pPr>
            <w:r w:rsidRPr="00D57160">
              <w:t>Daily Gain/Loss</w:t>
            </w:r>
          </w:p>
        </w:tc>
        <w:tc>
          <w:tcPr>
            <w:tcW w:w="1476" w:type="dxa"/>
            <w:vAlign w:val="center"/>
          </w:tcPr>
          <w:p w:rsidR="00965DFF" w:rsidRPr="00D57160" w:rsidRDefault="00965DFF" w:rsidP="00464D71">
            <w:pPr>
              <w:jc w:val="center"/>
            </w:pPr>
            <w:r w:rsidRPr="00D57160">
              <w:t>Cumulative Gain/Loss</w:t>
            </w:r>
          </w:p>
        </w:tc>
        <w:tc>
          <w:tcPr>
            <w:tcW w:w="1476" w:type="dxa"/>
            <w:vAlign w:val="center"/>
          </w:tcPr>
          <w:p w:rsidR="00965DFF" w:rsidRPr="00D57160" w:rsidRDefault="00965DFF" w:rsidP="00464D71">
            <w:pPr>
              <w:jc w:val="center"/>
            </w:pPr>
            <w:r w:rsidRPr="00D57160">
              <w:t>Margin Account Balance</w:t>
            </w:r>
          </w:p>
        </w:tc>
        <w:tc>
          <w:tcPr>
            <w:tcW w:w="1476" w:type="dxa"/>
            <w:vAlign w:val="center"/>
          </w:tcPr>
          <w:p w:rsidR="00965DFF" w:rsidRPr="00D57160" w:rsidRDefault="00965DFF" w:rsidP="00464D71">
            <w:pPr>
              <w:jc w:val="center"/>
            </w:pPr>
            <w:r>
              <w:t>Deposits or Withdrawals?</w:t>
            </w:r>
          </w:p>
        </w:tc>
      </w:tr>
      <w:tr w:rsidR="00965DFF" w:rsidRPr="00D57160" w:rsidTr="00464D71">
        <w:trPr>
          <w:jc w:val="center"/>
        </w:trPr>
        <w:tc>
          <w:tcPr>
            <w:tcW w:w="1476" w:type="dxa"/>
            <w:vAlign w:val="center"/>
          </w:tcPr>
          <w:p w:rsidR="00965DFF" w:rsidRPr="00D57160" w:rsidRDefault="00965DFF" w:rsidP="00464D71">
            <w:pPr>
              <w:jc w:val="center"/>
            </w:pPr>
            <w:r w:rsidRPr="00D57160">
              <w:t>Initial</w:t>
            </w:r>
          </w:p>
        </w:tc>
        <w:tc>
          <w:tcPr>
            <w:tcW w:w="1476" w:type="dxa"/>
            <w:vAlign w:val="center"/>
          </w:tcPr>
          <w:p w:rsidR="00965DFF" w:rsidRPr="00D57160" w:rsidRDefault="00965DFF" w:rsidP="00464D71">
            <w:pPr>
              <w:jc w:val="center"/>
            </w:pPr>
            <w:r w:rsidRPr="00D57160">
              <w:t>$20.00</w:t>
            </w:r>
          </w:p>
        </w:tc>
        <w:tc>
          <w:tcPr>
            <w:tcW w:w="1476" w:type="dxa"/>
            <w:vAlign w:val="center"/>
          </w:tcPr>
          <w:p w:rsidR="00965DFF" w:rsidRPr="00D57160" w:rsidRDefault="00965DFF" w:rsidP="00464D71">
            <w:pPr>
              <w:jc w:val="center"/>
            </w:pPr>
            <w:r w:rsidRPr="00D57160">
              <w:t>N/A</w:t>
            </w:r>
          </w:p>
        </w:tc>
        <w:tc>
          <w:tcPr>
            <w:tcW w:w="1476" w:type="dxa"/>
            <w:vAlign w:val="center"/>
          </w:tcPr>
          <w:p w:rsidR="00965DFF" w:rsidRPr="00D57160" w:rsidRDefault="00965DFF" w:rsidP="00464D71">
            <w:pPr>
              <w:jc w:val="center"/>
            </w:pPr>
            <w:r w:rsidRPr="00D57160">
              <w:t>N/A</w:t>
            </w: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pPr>
            <w:r w:rsidRPr="00D57160">
              <w:t>N/A</w:t>
            </w:r>
          </w:p>
        </w:tc>
      </w:tr>
      <w:tr w:rsidR="00965DFF" w:rsidRPr="00D57160" w:rsidTr="00464D71">
        <w:trPr>
          <w:jc w:val="center"/>
        </w:trPr>
        <w:tc>
          <w:tcPr>
            <w:tcW w:w="1476" w:type="dxa"/>
            <w:vAlign w:val="center"/>
          </w:tcPr>
          <w:p w:rsidR="00965DFF" w:rsidRPr="00D57160" w:rsidRDefault="00965DFF" w:rsidP="00464D71">
            <w:pPr>
              <w:jc w:val="center"/>
            </w:pPr>
            <w:r w:rsidRPr="00D57160">
              <w:t>Nov 18</w:t>
            </w:r>
          </w:p>
        </w:tc>
        <w:tc>
          <w:tcPr>
            <w:tcW w:w="1476" w:type="dxa"/>
            <w:vAlign w:val="center"/>
          </w:tcPr>
          <w:p w:rsidR="00965DFF" w:rsidRPr="00D57160" w:rsidRDefault="00965DFF" w:rsidP="00464D71">
            <w:pPr>
              <w:jc w:val="center"/>
            </w:pPr>
            <w:r w:rsidRPr="00D57160">
              <w:t>$19.90</w:t>
            </w: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r>
      <w:tr w:rsidR="00965DFF" w:rsidRPr="00D57160" w:rsidTr="00464D71">
        <w:trPr>
          <w:jc w:val="center"/>
        </w:trPr>
        <w:tc>
          <w:tcPr>
            <w:tcW w:w="1476" w:type="dxa"/>
            <w:vAlign w:val="center"/>
          </w:tcPr>
          <w:p w:rsidR="00965DFF" w:rsidRPr="00D57160" w:rsidRDefault="00965DFF" w:rsidP="00464D71">
            <w:pPr>
              <w:jc w:val="center"/>
            </w:pPr>
            <w:r w:rsidRPr="00D57160">
              <w:t>Nov 19</w:t>
            </w:r>
          </w:p>
        </w:tc>
        <w:tc>
          <w:tcPr>
            <w:tcW w:w="1476" w:type="dxa"/>
            <w:vAlign w:val="center"/>
          </w:tcPr>
          <w:p w:rsidR="00965DFF" w:rsidRPr="00D57160" w:rsidRDefault="00965DFF" w:rsidP="00464D71">
            <w:pPr>
              <w:jc w:val="center"/>
            </w:pPr>
            <w:r w:rsidRPr="00D57160">
              <w:t>$19.50</w:t>
            </w: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r>
      <w:tr w:rsidR="00965DFF" w:rsidRPr="00D57160" w:rsidTr="00464D71">
        <w:trPr>
          <w:jc w:val="center"/>
        </w:trPr>
        <w:tc>
          <w:tcPr>
            <w:tcW w:w="1476" w:type="dxa"/>
            <w:vAlign w:val="center"/>
          </w:tcPr>
          <w:p w:rsidR="00965DFF" w:rsidRPr="00D57160" w:rsidRDefault="00965DFF" w:rsidP="00464D71">
            <w:pPr>
              <w:jc w:val="center"/>
            </w:pPr>
            <w:r w:rsidRPr="00D57160">
              <w:t>Nov 20</w:t>
            </w:r>
          </w:p>
        </w:tc>
        <w:tc>
          <w:tcPr>
            <w:tcW w:w="1476" w:type="dxa"/>
            <w:vAlign w:val="center"/>
          </w:tcPr>
          <w:p w:rsidR="00965DFF" w:rsidRPr="00D57160" w:rsidRDefault="00965DFF" w:rsidP="00464D71">
            <w:pPr>
              <w:jc w:val="center"/>
            </w:pPr>
            <w:r w:rsidRPr="00D57160">
              <w:t>$19.40</w:t>
            </w: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r>
      <w:tr w:rsidR="00965DFF" w:rsidRPr="00D57160" w:rsidTr="00464D71">
        <w:trPr>
          <w:jc w:val="center"/>
        </w:trPr>
        <w:tc>
          <w:tcPr>
            <w:tcW w:w="1476" w:type="dxa"/>
            <w:vAlign w:val="center"/>
          </w:tcPr>
          <w:p w:rsidR="00965DFF" w:rsidRPr="00D57160" w:rsidRDefault="00965DFF" w:rsidP="00464D71">
            <w:pPr>
              <w:jc w:val="center"/>
            </w:pPr>
            <w:r w:rsidRPr="00D57160">
              <w:t>Nov 21</w:t>
            </w:r>
          </w:p>
        </w:tc>
        <w:tc>
          <w:tcPr>
            <w:tcW w:w="1476" w:type="dxa"/>
            <w:vAlign w:val="center"/>
          </w:tcPr>
          <w:p w:rsidR="00965DFF" w:rsidRPr="00D57160" w:rsidRDefault="00965DFF" w:rsidP="00464D71">
            <w:pPr>
              <w:jc w:val="center"/>
            </w:pPr>
            <w:r w:rsidRPr="00D57160">
              <w:t>$20.05</w:t>
            </w: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c>
          <w:tcPr>
            <w:tcW w:w="1476" w:type="dxa"/>
            <w:vAlign w:val="center"/>
          </w:tcPr>
          <w:p w:rsidR="00965DFF" w:rsidRPr="00D57160" w:rsidRDefault="00965DFF" w:rsidP="00464D71">
            <w:pPr>
              <w:jc w:val="center"/>
              <w:rPr>
                <w:sz w:val="60"/>
                <w:szCs w:val="60"/>
              </w:rPr>
            </w:pPr>
          </w:p>
        </w:tc>
      </w:tr>
    </w:tbl>
    <w:p w:rsidR="00965DFF" w:rsidRDefault="00965DFF" w:rsidP="00965DFF">
      <w:pPr>
        <w:autoSpaceDE w:val="0"/>
        <w:autoSpaceDN w:val="0"/>
        <w:adjustRightInd w:val="0"/>
        <w:jc w:val="both"/>
        <w:rPr>
          <w:rFonts w:ascii="Book Antiqua" w:hAnsi="Book Antiqua" w:cs="QuarterlyTimes-Regular"/>
        </w:rPr>
      </w:pPr>
    </w:p>
    <w:p w:rsidR="00965DFF" w:rsidRDefault="00965DFF" w:rsidP="00965DFF">
      <w:pPr>
        <w:autoSpaceDE w:val="0"/>
        <w:autoSpaceDN w:val="0"/>
        <w:adjustRightInd w:val="0"/>
        <w:jc w:val="both"/>
        <w:rPr>
          <w:rFonts w:ascii="Book Antiqua" w:hAnsi="Book Antiqua" w:cs="QuarterlyTimes-Regular"/>
        </w:rPr>
      </w:pPr>
      <w:r w:rsidRPr="00065462">
        <w:rPr>
          <w:rFonts w:ascii="Book Antiqua" w:hAnsi="Book Antiqua" w:cs="QuarterlyTimes-Regular"/>
        </w:rPr>
        <w:t xml:space="preserve"> </w:t>
      </w:r>
    </w:p>
    <w:p w:rsidR="00965DFF" w:rsidRDefault="00965DFF" w:rsidP="00965DFF">
      <w:pPr>
        <w:autoSpaceDE w:val="0"/>
        <w:autoSpaceDN w:val="0"/>
        <w:adjustRightInd w:val="0"/>
        <w:spacing w:after="0" w:line="240" w:lineRule="auto"/>
        <w:jc w:val="both"/>
        <w:rPr>
          <w:rFonts w:ascii="Book Antiqua" w:hAnsi="Book Antiqua" w:cs="QuarterlyTimes-Regular"/>
        </w:rPr>
      </w:pPr>
      <w:r>
        <w:rPr>
          <w:rFonts w:ascii="Book Antiqua" w:hAnsi="Book Antiqua" w:cs="QuarterlyTimes-Regular"/>
        </w:rPr>
        <w:br w:type="page"/>
      </w:r>
      <w:r>
        <w:rPr>
          <w:rFonts w:ascii="Book Antiqua" w:hAnsi="Book Antiqua" w:cs="QuarterlyTimes-Regular"/>
        </w:rPr>
        <w:lastRenderedPageBreak/>
        <w:t xml:space="preserve">6.   </w:t>
      </w:r>
      <w:r w:rsidR="007B6CCE">
        <w:rPr>
          <w:rFonts w:ascii="Book Antiqua" w:hAnsi="Book Antiqua" w:cs="QuarterlyTimes-Regular"/>
        </w:rPr>
        <w:t>(25</w:t>
      </w:r>
      <w:r>
        <w:rPr>
          <w:rFonts w:ascii="Book Antiqua" w:hAnsi="Book Antiqua" w:cs="QuarterlyTimes-Regular"/>
        </w:rPr>
        <w:t xml:space="preserve"> points) Revisit the work that we did in class regarding AIFS.  What if they choose to hedge different percentages of their base case scenario expenses (25,000 students) with a combination of futures and options. As shown in the template on our class website, they can cover 0%, 25%, 50%, 75%, or 100% of the risk. When they choose to cover, they can do so with combinations of futures and options as shown in the spreadsheet.</w:t>
      </w:r>
    </w:p>
    <w:p w:rsidR="00965DFF" w:rsidRDefault="00965DFF" w:rsidP="00965DFF">
      <w:pPr>
        <w:autoSpaceDE w:val="0"/>
        <w:autoSpaceDN w:val="0"/>
        <w:adjustRightInd w:val="0"/>
        <w:jc w:val="both"/>
        <w:rPr>
          <w:rFonts w:ascii="Book Antiqua" w:hAnsi="Book Antiqua" w:cs="QuarterlyTimes-Regular"/>
        </w:rPr>
      </w:pPr>
    </w:p>
    <w:p w:rsidR="00965DFF" w:rsidRDefault="00965DFF" w:rsidP="00965DFF">
      <w:pPr>
        <w:autoSpaceDE w:val="0"/>
        <w:autoSpaceDN w:val="0"/>
        <w:adjustRightInd w:val="0"/>
        <w:ind w:left="360"/>
        <w:jc w:val="both"/>
        <w:rPr>
          <w:rFonts w:ascii="Book Antiqua" w:hAnsi="Book Antiqua" w:cs="QuarterlyTimes-Regular"/>
        </w:rPr>
      </w:pPr>
      <w:r>
        <w:rPr>
          <w:rFonts w:ascii="Book Antiqua" w:hAnsi="Book Antiqua" w:cs="QuarterlyTimes-Regular"/>
        </w:rPr>
        <w:t>Using the template I have provided you with, calculate the positive or negative windfalls for stable dollar, weak dollar and strong dollar assuming:</w:t>
      </w:r>
    </w:p>
    <w:p w:rsidR="00965DFF" w:rsidRDefault="00965DFF" w:rsidP="00965DFF">
      <w:pPr>
        <w:autoSpaceDE w:val="0"/>
        <w:autoSpaceDN w:val="0"/>
        <w:adjustRightInd w:val="0"/>
        <w:ind w:left="360"/>
        <w:jc w:val="both"/>
        <w:rPr>
          <w:rFonts w:ascii="Book Antiqua" w:hAnsi="Book Antiqua" w:cs="QuarterlyTimes-Regular"/>
        </w:rPr>
      </w:pPr>
    </w:p>
    <w:p w:rsidR="00965DFF" w:rsidRDefault="00965DFF" w:rsidP="00965DFF">
      <w:pPr>
        <w:numPr>
          <w:ilvl w:val="1"/>
          <w:numId w:val="11"/>
        </w:numPr>
        <w:autoSpaceDE w:val="0"/>
        <w:autoSpaceDN w:val="0"/>
        <w:adjustRightInd w:val="0"/>
        <w:spacing w:after="0" w:line="240" w:lineRule="auto"/>
        <w:jc w:val="both"/>
        <w:rPr>
          <w:rFonts w:ascii="Book Antiqua" w:hAnsi="Book Antiqua" w:cs="QuarterlyTimes-Regular"/>
        </w:rPr>
      </w:pPr>
      <w:r>
        <w:rPr>
          <w:rFonts w:ascii="Book Antiqua" w:hAnsi="Book Antiqua" w:cs="QuarterlyTimes-Regular"/>
        </w:rPr>
        <w:t>25,000 student demand</w:t>
      </w:r>
    </w:p>
    <w:p w:rsidR="00965DFF" w:rsidRDefault="00965DFF" w:rsidP="00965DFF">
      <w:pPr>
        <w:numPr>
          <w:ilvl w:val="1"/>
          <w:numId w:val="11"/>
        </w:numPr>
        <w:autoSpaceDE w:val="0"/>
        <w:autoSpaceDN w:val="0"/>
        <w:adjustRightInd w:val="0"/>
        <w:spacing w:after="0" w:line="240" w:lineRule="auto"/>
        <w:jc w:val="both"/>
        <w:rPr>
          <w:rFonts w:ascii="Book Antiqua" w:hAnsi="Book Antiqua" w:cs="QuarterlyTimes-Regular"/>
        </w:rPr>
      </w:pPr>
      <w:r>
        <w:rPr>
          <w:rFonts w:ascii="Book Antiqua" w:hAnsi="Book Antiqua" w:cs="QuarterlyTimes-Regular"/>
        </w:rPr>
        <w:t>30,000 student demand (but 25,000 were hedged for)</w:t>
      </w:r>
    </w:p>
    <w:p w:rsidR="00965DFF" w:rsidRDefault="00965DFF" w:rsidP="00965DFF">
      <w:pPr>
        <w:numPr>
          <w:ilvl w:val="1"/>
          <w:numId w:val="11"/>
        </w:numPr>
        <w:autoSpaceDE w:val="0"/>
        <w:autoSpaceDN w:val="0"/>
        <w:adjustRightInd w:val="0"/>
        <w:spacing w:after="0" w:line="240" w:lineRule="auto"/>
        <w:jc w:val="both"/>
        <w:rPr>
          <w:rFonts w:ascii="Book Antiqua" w:hAnsi="Book Antiqua" w:cs="QuarterlyTimes-Regular"/>
        </w:rPr>
      </w:pPr>
      <w:r>
        <w:rPr>
          <w:rFonts w:ascii="Book Antiqua" w:hAnsi="Book Antiqua" w:cs="QuarterlyTimes-Regular"/>
        </w:rPr>
        <w:t>10,000 student demand (but 25,000 were hedged for)</w:t>
      </w:r>
    </w:p>
    <w:p w:rsidR="00965DFF" w:rsidRDefault="00965DFF" w:rsidP="00965DFF">
      <w:pPr>
        <w:autoSpaceDE w:val="0"/>
        <w:autoSpaceDN w:val="0"/>
        <w:adjustRightInd w:val="0"/>
        <w:jc w:val="both"/>
        <w:rPr>
          <w:rFonts w:ascii="Book Antiqua" w:hAnsi="Book Antiqua" w:cs="QuarterlyTimes-Regular"/>
        </w:rPr>
      </w:pPr>
    </w:p>
    <w:p w:rsidR="00965DFF" w:rsidRDefault="00965DFF" w:rsidP="00965DFF">
      <w:pPr>
        <w:autoSpaceDE w:val="0"/>
        <w:autoSpaceDN w:val="0"/>
        <w:adjustRightInd w:val="0"/>
        <w:jc w:val="both"/>
        <w:rPr>
          <w:rFonts w:ascii="Book Antiqua" w:hAnsi="Book Antiqua" w:cs="QuarterlyTimes-Regular"/>
        </w:rPr>
      </w:pPr>
      <w:r>
        <w:rPr>
          <w:rFonts w:ascii="Book Antiqua" w:hAnsi="Book Antiqua" w:cs="QuarterlyTimes-Regular"/>
        </w:rPr>
        <w:t>Look carefully at all three spreadsheets after you have filled them out and make a recommendation for what hedging strategy AIFS should select (how much to hedge and which instruments to use in what proportions. Explain why you feel this is the best route for AIFS.</w:t>
      </w:r>
    </w:p>
    <w:p w:rsidR="00A13B1B" w:rsidRDefault="00A13B1B" w:rsidP="00965DFF">
      <w:pPr>
        <w:pStyle w:val="ListParagraph"/>
        <w:ind w:left="360"/>
        <w:rPr>
          <w:sz w:val="24"/>
          <w:szCs w:val="24"/>
        </w:rPr>
      </w:pPr>
    </w:p>
    <w:sectPr w:rsidR="00A13B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AB" w:rsidRDefault="00230CAB" w:rsidP="00A314F8">
      <w:pPr>
        <w:spacing w:after="0" w:line="240" w:lineRule="auto"/>
      </w:pPr>
      <w:r>
        <w:separator/>
      </w:r>
    </w:p>
  </w:endnote>
  <w:endnote w:type="continuationSeparator" w:id="0">
    <w:p w:rsidR="00230CAB" w:rsidRDefault="00230CAB" w:rsidP="00A3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QuarterlyTime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AB" w:rsidRDefault="00230CAB" w:rsidP="00A314F8">
      <w:pPr>
        <w:spacing w:after="0" w:line="240" w:lineRule="auto"/>
      </w:pPr>
      <w:r>
        <w:separator/>
      </w:r>
    </w:p>
  </w:footnote>
  <w:footnote w:type="continuationSeparator" w:id="0">
    <w:p w:rsidR="00230CAB" w:rsidRDefault="00230CAB" w:rsidP="00A31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B43"/>
    <w:multiLevelType w:val="hybridMultilevel"/>
    <w:tmpl w:val="FCB66B78"/>
    <w:lvl w:ilvl="0" w:tplc="0409000F">
      <w:start w:val="1"/>
      <w:numFmt w:val="decimal"/>
      <w:lvlText w:val="%1."/>
      <w:lvlJc w:val="left"/>
      <w:pPr>
        <w:tabs>
          <w:tab w:val="num" w:pos="720"/>
        </w:tabs>
        <w:ind w:left="720" w:hanging="360"/>
      </w:pPr>
      <w:rPr>
        <w:rFonts w:hint="default"/>
      </w:rPr>
    </w:lvl>
    <w:lvl w:ilvl="1" w:tplc="25CC607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4358B"/>
    <w:multiLevelType w:val="hybridMultilevel"/>
    <w:tmpl w:val="D0A02930"/>
    <w:lvl w:ilvl="0" w:tplc="0409000F">
      <w:start w:val="42"/>
      <w:numFmt w:val="decimal"/>
      <w:lvlText w:val="%1."/>
      <w:lvlJc w:val="left"/>
      <w:pPr>
        <w:tabs>
          <w:tab w:val="num" w:pos="720"/>
        </w:tabs>
        <w:ind w:left="720" w:hanging="360"/>
      </w:pPr>
      <w:rPr>
        <w:rFonts w:hint="default"/>
      </w:rPr>
    </w:lvl>
    <w:lvl w:ilvl="1" w:tplc="8C6C8C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71566E"/>
    <w:multiLevelType w:val="singleLevel"/>
    <w:tmpl w:val="CB24AFB8"/>
    <w:lvl w:ilvl="0">
      <w:start w:val="1"/>
      <w:numFmt w:val="upperLetter"/>
      <w:lvlText w:val="%1)"/>
      <w:lvlJc w:val="left"/>
      <w:pPr>
        <w:tabs>
          <w:tab w:val="num" w:pos="720"/>
        </w:tabs>
        <w:ind w:left="720" w:hanging="360"/>
      </w:pPr>
    </w:lvl>
  </w:abstractNum>
  <w:abstractNum w:abstractNumId="3" w15:restartNumberingAfterBreak="0">
    <w:nsid w:val="1DF60C98"/>
    <w:multiLevelType w:val="singleLevel"/>
    <w:tmpl w:val="959879B8"/>
    <w:lvl w:ilvl="0">
      <w:start w:val="2"/>
      <w:numFmt w:val="upperLetter"/>
      <w:lvlText w:val="%1)"/>
      <w:lvlJc w:val="left"/>
      <w:pPr>
        <w:tabs>
          <w:tab w:val="num" w:pos="720"/>
        </w:tabs>
        <w:ind w:left="720" w:hanging="360"/>
      </w:pPr>
      <w:rPr>
        <w:rFonts w:hint="default"/>
      </w:rPr>
    </w:lvl>
  </w:abstractNum>
  <w:abstractNum w:abstractNumId="4" w15:restartNumberingAfterBreak="0">
    <w:nsid w:val="22AC694D"/>
    <w:multiLevelType w:val="hybridMultilevel"/>
    <w:tmpl w:val="1C0C5BEA"/>
    <w:lvl w:ilvl="0" w:tplc="4BBA74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76A83"/>
    <w:multiLevelType w:val="multilevel"/>
    <w:tmpl w:val="DA8E2F2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43C2D0A"/>
    <w:multiLevelType w:val="hybridMultilevel"/>
    <w:tmpl w:val="1F24F4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693961"/>
    <w:multiLevelType w:val="hybridMultilevel"/>
    <w:tmpl w:val="E8DE4B68"/>
    <w:lvl w:ilvl="0" w:tplc="77A6B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2D75DE"/>
    <w:multiLevelType w:val="singleLevel"/>
    <w:tmpl w:val="A358EA44"/>
    <w:lvl w:ilvl="0">
      <w:start w:val="1"/>
      <w:numFmt w:val="upperLetter"/>
      <w:lvlText w:val="%1)"/>
      <w:lvlJc w:val="left"/>
      <w:pPr>
        <w:tabs>
          <w:tab w:val="num" w:pos="720"/>
        </w:tabs>
        <w:ind w:left="720" w:hanging="360"/>
      </w:pPr>
    </w:lvl>
  </w:abstractNum>
  <w:abstractNum w:abstractNumId="9" w15:restartNumberingAfterBreak="0">
    <w:nsid w:val="6A6E42F4"/>
    <w:multiLevelType w:val="hybridMultilevel"/>
    <w:tmpl w:val="35DCB0D0"/>
    <w:lvl w:ilvl="0" w:tplc="D8D2B102">
      <w:start w:val="1"/>
      <w:numFmt w:val="decimal"/>
      <w:lvlText w:val="%1."/>
      <w:lvlJc w:val="left"/>
      <w:pPr>
        <w:tabs>
          <w:tab w:val="num" w:pos="720"/>
        </w:tabs>
        <w:ind w:left="720" w:hanging="360"/>
      </w:pPr>
      <w:rPr>
        <w:rFonts w:cs="Times New Roman" w:hint="default"/>
        <w:sz w:val="22"/>
        <w:szCs w:val="22"/>
      </w:rPr>
    </w:lvl>
    <w:lvl w:ilvl="1" w:tplc="CF044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FC6CE4"/>
    <w:multiLevelType w:val="hybridMultilevel"/>
    <w:tmpl w:val="FCB66B78"/>
    <w:lvl w:ilvl="0" w:tplc="0409000F">
      <w:start w:val="1"/>
      <w:numFmt w:val="decimal"/>
      <w:lvlText w:val="%1."/>
      <w:lvlJc w:val="left"/>
      <w:pPr>
        <w:tabs>
          <w:tab w:val="num" w:pos="720"/>
        </w:tabs>
        <w:ind w:left="720" w:hanging="360"/>
      </w:pPr>
      <w:rPr>
        <w:rFonts w:hint="default"/>
      </w:rPr>
    </w:lvl>
    <w:lvl w:ilvl="1" w:tplc="25CC607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0"/>
  </w:num>
  <w:num w:numId="5">
    <w:abstractNumId w:val="10"/>
  </w:num>
  <w:num w:numId="6">
    <w:abstractNumId w:val="1"/>
  </w:num>
  <w:num w:numId="7">
    <w:abstractNumId w:val="3"/>
  </w:num>
  <w:num w:numId="8">
    <w:abstractNumId w:val="8"/>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D7"/>
    <w:rsid w:val="00020D71"/>
    <w:rsid w:val="000875EE"/>
    <w:rsid w:val="000B15D7"/>
    <w:rsid w:val="000F438E"/>
    <w:rsid w:val="00107F6A"/>
    <w:rsid w:val="001106AC"/>
    <w:rsid w:val="001E7653"/>
    <w:rsid w:val="001F116E"/>
    <w:rsid w:val="00221BB1"/>
    <w:rsid w:val="00230CAB"/>
    <w:rsid w:val="002323C0"/>
    <w:rsid w:val="00256D8C"/>
    <w:rsid w:val="002B400C"/>
    <w:rsid w:val="002B62DC"/>
    <w:rsid w:val="003501A0"/>
    <w:rsid w:val="0037507D"/>
    <w:rsid w:val="003C0813"/>
    <w:rsid w:val="003D7DE5"/>
    <w:rsid w:val="00433EB6"/>
    <w:rsid w:val="004447FE"/>
    <w:rsid w:val="004C32A0"/>
    <w:rsid w:val="004D7035"/>
    <w:rsid w:val="005378F6"/>
    <w:rsid w:val="0064445C"/>
    <w:rsid w:val="00685D20"/>
    <w:rsid w:val="00691044"/>
    <w:rsid w:val="006A2DF8"/>
    <w:rsid w:val="006C526A"/>
    <w:rsid w:val="00726248"/>
    <w:rsid w:val="0077743A"/>
    <w:rsid w:val="00797AC5"/>
    <w:rsid w:val="007A456A"/>
    <w:rsid w:val="007B6CCE"/>
    <w:rsid w:val="007F1E06"/>
    <w:rsid w:val="008524EA"/>
    <w:rsid w:val="00897E0E"/>
    <w:rsid w:val="008B4E24"/>
    <w:rsid w:val="008C5E0F"/>
    <w:rsid w:val="008F33FE"/>
    <w:rsid w:val="00903DE5"/>
    <w:rsid w:val="00917A2B"/>
    <w:rsid w:val="00963B1F"/>
    <w:rsid w:val="00965DFF"/>
    <w:rsid w:val="00A03751"/>
    <w:rsid w:val="00A13B1B"/>
    <w:rsid w:val="00A314F8"/>
    <w:rsid w:val="00A43EF4"/>
    <w:rsid w:val="00A90796"/>
    <w:rsid w:val="00AA4605"/>
    <w:rsid w:val="00AF579D"/>
    <w:rsid w:val="00B25985"/>
    <w:rsid w:val="00B76522"/>
    <w:rsid w:val="00BF1ABC"/>
    <w:rsid w:val="00C04C7B"/>
    <w:rsid w:val="00C44299"/>
    <w:rsid w:val="00C6583E"/>
    <w:rsid w:val="00C8652E"/>
    <w:rsid w:val="00D803BB"/>
    <w:rsid w:val="00DD3C69"/>
    <w:rsid w:val="00DF66DE"/>
    <w:rsid w:val="00E128D3"/>
    <w:rsid w:val="00E50353"/>
    <w:rsid w:val="00E63A2D"/>
    <w:rsid w:val="00E846DC"/>
    <w:rsid w:val="00EE46A9"/>
    <w:rsid w:val="00F2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33CF"/>
  <w15:docId w15:val="{338F4298-9148-4AEF-AF0B-5DFF369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5D7"/>
    <w:pPr>
      <w:spacing w:after="0" w:line="240" w:lineRule="auto"/>
    </w:pPr>
  </w:style>
  <w:style w:type="character" w:styleId="Hyperlink">
    <w:name w:val="Hyperlink"/>
    <w:basedOn w:val="DefaultParagraphFont"/>
    <w:uiPriority w:val="99"/>
    <w:unhideWhenUsed/>
    <w:rsid w:val="00C44299"/>
    <w:rPr>
      <w:color w:val="0000FF" w:themeColor="hyperlink"/>
      <w:u w:val="single"/>
    </w:rPr>
  </w:style>
  <w:style w:type="paragraph" w:styleId="Header">
    <w:name w:val="header"/>
    <w:basedOn w:val="Normal"/>
    <w:link w:val="HeaderChar"/>
    <w:uiPriority w:val="99"/>
    <w:unhideWhenUsed/>
    <w:rsid w:val="00A31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F8"/>
  </w:style>
  <w:style w:type="paragraph" w:styleId="Footer">
    <w:name w:val="footer"/>
    <w:basedOn w:val="Normal"/>
    <w:link w:val="FooterChar"/>
    <w:uiPriority w:val="99"/>
    <w:unhideWhenUsed/>
    <w:rsid w:val="00A3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F8"/>
  </w:style>
  <w:style w:type="paragraph" w:styleId="ListParagraph">
    <w:name w:val="List Paragraph"/>
    <w:basedOn w:val="Normal"/>
    <w:uiPriority w:val="34"/>
    <w:qFormat/>
    <w:rsid w:val="001106AC"/>
    <w:pPr>
      <w:spacing w:after="0" w:line="240" w:lineRule="auto"/>
      <w:ind w:left="720"/>
      <w:contextualSpacing/>
    </w:pPr>
    <w:rPr>
      <w:rFonts w:ascii="Times New Roman" w:eastAsia="Times New Roman" w:hAnsi="Times New Roman" w:cs="Times New Roman"/>
      <w:sz w:val="20"/>
      <w:szCs w:val="20"/>
    </w:rPr>
  </w:style>
  <w:style w:type="paragraph" w:styleId="BodyTextIndent">
    <w:name w:val="Body Text Indent"/>
    <w:basedOn w:val="Normal"/>
    <w:link w:val="BodyTextIndentChar"/>
    <w:rsid w:val="00C8652E"/>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652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C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6A"/>
    <w:rPr>
      <w:rFonts w:ascii="Tahoma" w:hAnsi="Tahoma" w:cs="Tahoma"/>
      <w:sz w:val="16"/>
      <w:szCs w:val="16"/>
    </w:rPr>
  </w:style>
  <w:style w:type="paragraph" w:styleId="NormalWeb">
    <w:name w:val="Normal (Web)"/>
    <w:basedOn w:val="Normal"/>
    <w:rsid w:val="00685D2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0353"/>
    <w:rPr>
      <w:color w:val="800080" w:themeColor="followedHyperlink"/>
      <w:u w:val="single"/>
    </w:rPr>
  </w:style>
  <w:style w:type="paragraph" w:customStyle="1" w:styleId="LightGrid-Accent31">
    <w:name w:val="Light Grid - Accent 31"/>
    <w:basedOn w:val="Normal"/>
    <w:uiPriority w:val="34"/>
    <w:qFormat/>
    <w:rsid w:val="00965DF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F1C6A-02BE-4A64-8109-1831FE69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4</cp:revision>
  <cp:lastPrinted>2019-03-26T21:10:00Z</cp:lastPrinted>
  <dcterms:created xsi:type="dcterms:W3CDTF">2019-04-22T21:00:00Z</dcterms:created>
  <dcterms:modified xsi:type="dcterms:W3CDTF">2019-04-22T21:15:00Z</dcterms:modified>
</cp:coreProperties>
</file>