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59" w:rsidRDefault="00777259">
      <w:pPr>
        <w:rPr>
          <w:b/>
        </w:rPr>
      </w:pPr>
      <w:r>
        <w:rPr>
          <w:b/>
        </w:rPr>
        <w:t>Probl</w:t>
      </w:r>
      <w:bookmarkStart w:id="0" w:name="_GoBack"/>
      <w:bookmarkEnd w:id="0"/>
      <w:r>
        <w:rPr>
          <w:b/>
        </w:rPr>
        <w:t>em 5</w:t>
      </w:r>
    </w:p>
    <w:p w:rsidR="00777259" w:rsidRDefault="00777259" w:rsidP="00777259">
      <w:pPr>
        <w:pStyle w:val="NoSpacing"/>
      </w:pPr>
      <w:r>
        <w:t>See attached spreadsheet for details.</w:t>
      </w:r>
    </w:p>
    <w:p w:rsidR="00777259" w:rsidRDefault="00777259" w:rsidP="00777259">
      <w:pPr>
        <w:pStyle w:val="NoSpacing"/>
        <w:rPr>
          <w:rFonts w:cs="Times New Roman"/>
        </w:rPr>
      </w:pPr>
      <w:r>
        <w:t>Exchange Rate one standard deviation greater than 1.30 $/</w:t>
      </w:r>
      <w:proofErr w:type="gramStart"/>
      <w:r>
        <w:rPr>
          <w:rFonts w:cs="Times New Roman"/>
        </w:rPr>
        <w:t>£</w:t>
      </w:r>
      <w:r>
        <w:t xml:space="preserve">  is</w:t>
      </w:r>
      <w:proofErr w:type="gramEnd"/>
      <w:r>
        <w:t xml:space="preserve"> 1.3265 </w:t>
      </w:r>
      <w:r>
        <w:t>$/</w:t>
      </w:r>
      <w:r>
        <w:rPr>
          <w:rFonts w:cs="Times New Roman"/>
        </w:rPr>
        <w:t>£</w:t>
      </w:r>
    </w:p>
    <w:p w:rsidR="00A73A25" w:rsidRDefault="00A73A25" w:rsidP="00A73A25">
      <w:pPr>
        <w:pStyle w:val="NoSpacing"/>
        <w:rPr>
          <w:rFonts w:cs="Times New Roman"/>
        </w:rPr>
      </w:pPr>
      <w:r>
        <w:t xml:space="preserve">Exchange Rate one standard deviation </w:t>
      </w:r>
      <w:r>
        <w:t>less</w:t>
      </w:r>
      <w:r>
        <w:t xml:space="preserve"> than 1.30 $/</w:t>
      </w:r>
      <w:proofErr w:type="gramStart"/>
      <w:r>
        <w:rPr>
          <w:rFonts w:cs="Times New Roman"/>
        </w:rPr>
        <w:t>£</w:t>
      </w:r>
      <w:r>
        <w:t xml:space="preserve">  is</w:t>
      </w:r>
      <w:proofErr w:type="gramEnd"/>
      <w:r>
        <w:t xml:space="preserve"> 1.273</w:t>
      </w:r>
      <w:r>
        <w:t>5 $/</w:t>
      </w:r>
      <w:r>
        <w:rPr>
          <w:rFonts w:cs="Times New Roman"/>
        </w:rPr>
        <w:t>£</w:t>
      </w:r>
    </w:p>
    <w:p w:rsidR="00A73A25" w:rsidRDefault="00A73A25" w:rsidP="00A73A25">
      <w:pPr>
        <w:pStyle w:val="NoSpacing"/>
        <w:rPr>
          <w:rFonts w:cs="Times New Roman"/>
        </w:rPr>
      </w:pPr>
      <w:r>
        <w:rPr>
          <w:rFonts w:cs="Times New Roman"/>
        </w:rPr>
        <w:t>Probability that the pound will be worth more than $1.35 in one month is 2.97%</w:t>
      </w:r>
    </w:p>
    <w:p w:rsidR="00A73A25" w:rsidRDefault="00A73A25" w:rsidP="00A73A25">
      <w:pPr>
        <w:pStyle w:val="NoSpacing"/>
        <w:rPr>
          <w:rFonts w:cs="Times New Roman"/>
        </w:rPr>
      </w:pPr>
      <w:r>
        <w:rPr>
          <w:rFonts w:cs="Times New Roman"/>
        </w:rPr>
        <w:t>Recommend that the company does not hedge</w:t>
      </w:r>
    </w:p>
    <w:p w:rsidR="00A73A25" w:rsidRPr="00777259" w:rsidRDefault="00A73A25" w:rsidP="00777259">
      <w:pPr>
        <w:pStyle w:val="NoSpacing"/>
      </w:pPr>
    </w:p>
    <w:p w:rsidR="00777259" w:rsidRDefault="00777259">
      <w:r>
        <w:rPr>
          <w:b/>
        </w:rPr>
        <w:t>Problem 6</w:t>
      </w:r>
    </w:p>
    <w:p w:rsidR="00777259" w:rsidRDefault="00777259" w:rsidP="00777259">
      <w:pPr>
        <w:pStyle w:val="NoSpacing"/>
      </w:pPr>
      <w:r>
        <w:t>Everyone’s graphs and portfolios will be different because you each selected different stocks. Here are the points you should have gotten from this problem:</w:t>
      </w:r>
    </w:p>
    <w:p w:rsidR="00777259" w:rsidRDefault="00777259" w:rsidP="00777259">
      <w:pPr>
        <w:pStyle w:val="NoSpacing"/>
      </w:pPr>
    </w:p>
    <w:p w:rsidR="00777259" w:rsidRDefault="00777259" w:rsidP="00777259">
      <w:pPr>
        <w:pStyle w:val="NoSpacing"/>
        <w:numPr>
          <w:ilvl w:val="0"/>
          <w:numId w:val="1"/>
        </w:numPr>
      </w:pPr>
      <w:r>
        <w:t xml:space="preserve">The graph when the stocks </w:t>
      </w:r>
      <w:proofErr w:type="gramStart"/>
      <w:r>
        <w:t>are sorted</w:t>
      </w:r>
      <w:proofErr w:type="gramEnd"/>
      <w:r>
        <w:t xml:space="preserve"> from highest standard deviation to lowest should look the most like the “classic” graph.</w:t>
      </w:r>
    </w:p>
    <w:p w:rsidR="00777259" w:rsidRDefault="00777259" w:rsidP="00777259">
      <w:pPr>
        <w:pStyle w:val="NoSpacing"/>
      </w:pPr>
    </w:p>
    <w:p w:rsidR="00777259" w:rsidRDefault="00777259" w:rsidP="00777259">
      <w:pPr>
        <w:pStyle w:val="NoSpacing"/>
        <w:numPr>
          <w:ilvl w:val="0"/>
          <w:numId w:val="1"/>
        </w:numPr>
      </w:pPr>
      <w:r>
        <w:t>The sorting does not affect the portfolio standard deviation for the 30-stock portfolio because it is the same 30 stocks – the order they are listed doesn’t affect the risk of the portfolio</w:t>
      </w:r>
    </w:p>
    <w:p w:rsidR="00777259" w:rsidRDefault="00777259" w:rsidP="00777259">
      <w:pPr>
        <w:pStyle w:val="NoSpacing"/>
      </w:pPr>
    </w:p>
    <w:p w:rsidR="00777259" w:rsidRDefault="00777259" w:rsidP="00777259">
      <w:pPr>
        <w:pStyle w:val="NoSpacing"/>
        <w:numPr>
          <w:ilvl w:val="0"/>
          <w:numId w:val="1"/>
        </w:numPr>
      </w:pPr>
      <w:r>
        <w:t xml:space="preserve">The standard deviation of a portfolio will always be less than a weighted average of the standard deviations of the </w:t>
      </w:r>
      <w:proofErr w:type="gramStart"/>
      <w:r>
        <w:t>stocks which</w:t>
      </w:r>
      <w:proofErr w:type="gramEnd"/>
      <w:r>
        <w:t xml:space="preserve"> comprise the portfolio as long as the correlations are not all 1.0.</w:t>
      </w:r>
    </w:p>
    <w:p w:rsidR="00777259" w:rsidRDefault="00777259" w:rsidP="00777259">
      <w:pPr>
        <w:pStyle w:val="NoSpacing"/>
      </w:pPr>
    </w:p>
    <w:p w:rsidR="00777259" w:rsidRDefault="00777259" w:rsidP="00777259">
      <w:pPr>
        <w:pStyle w:val="NoSpacing"/>
        <w:numPr>
          <w:ilvl w:val="0"/>
          <w:numId w:val="1"/>
        </w:numPr>
      </w:pPr>
      <w:r>
        <w:t xml:space="preserve">Most likely, the portfolio standard deviation went up at least once when you added an additional stock. </w:t>
      </w:r>
      <w:proofErr w:type="gramStart"/>
      <w:r>
        <w:t>It’s</w:t>
      </w:r>
      <w:proofErr w:type="gramEnd"/>
      <w:r>
        <w:t xml:space="preserve"> standard deviation was high enough to offset the advantage of adding some additional diversification.</w:t>
      </w:r>
    </w:p>
    <w:p w:rsidR="00777259" w:rsidRDefault="00777259" w:rsidP="00777259">
      <w:pPr>
        <w:pStyle w:val="NoSpacing"/>
      </w:pPr>
    </w:p>
    <w:p w:rsidR="00777259" w:rsidRDefault="00777259" w:rsidP="00777259">
      <w:pPr>
        <w:pStyle w:val="NoSpacing"/>
        <w:numPr>
          <w:ilvl w:val="0"/>
          <w:numId w:val="1"/>
        </w:numPr>
      </w:pPr>
      <w:r>
        <w:t xml:space="preserve">It is not only possible to put together a portfolio of 30 stocks with a standard deviation lower than the S&amp;P </w:t>
      </w:r>
      <w:proofErr w:type="gramStart"/>
      <w:r>
        <w:t>500,</w:t>
      </w:r>
      <w:proofErr w:type="gramEnd"/>
      <w:r>
        <w:t xml:space="preserve"> I suspect that most of you did it.</w:t>
      </w:r>
    </w:p>
    <w:p w:rsidR="00777259" w:rsidRDefault="00777259" w:rsidP="00777259">
      <w:pPr>
        <w:pStyle w:val="NoSpacing"/>
      </w:pPr>
    </w:p>
    <w:p w:rsidR="00777259" w:rsidRPr="00777259" w:rsidRDefault="00777259" w:rsidP="00777259">
      <w:pPr>
        <w:pStyle w:val="NoSpacing"/>
        <w:numPr>
          <w:ilvl w:val="0"/>
          <w:numId w:val="1"/>
        </w:numPr>
      </w:pPr>
      <w:r>
        <w:t xml:space="preserve">To lower the standard deviation of a portfolio, you must select stocks with low standard deviations and low correlations with each other. </w:t>
      </w:r>
    </w:p>
    <w:p w:rsidR="00777259" w:rsidRDefault="00777259">
      <w:pPr>
        <w:rPr>
          <w:b/>
        </w:rPr>
      </w:pPr>
    </w:p>
    <w:p w:rsidR="001F246B" w:rsidRPr="0085666C" w:rsidRDefault="003D2FD4">
      <w:pPr>
        <w:rPr>
          <w:b/>
        </w:rPr>
      </w:pPr>
      <w:r w:rsidRPr="0085666C">
        <w:rPr>
          <w:b/>
        </w:rPr>
        <w:t>Problem 7</w:t>
      </w:r>
    </w:p>
    <w:p w:rsidR="003D2FD4" w:rsidRDefault="003D2FD4" w:rsidP="003D2FD4">
      <w:pPr>
        <w:pStyle w:val="NoSpacing"/>
      </w:pPr>
      <w:r>
        <w:t xml:space="preserve">0.9 = </w:t>
      </w:r>
      <w:r>
        <w:rPr>
          <w:rFonts w:cs="Times New Roman"/>
        </w:rPr>
        <w:t>β</w:t>
      </w:r>
      <w:r>
        <w:rPr>
          <w:sz w:val="20"/>
          <w:vertAlign w:val="subscript"/>
        </w:rPr>
        <w:t>A</w:t>
      </w:r>
      <w:r>
        <w:rPr>
          <w:sz w:val="20"/>
        </w:rPr>
        <w:t xml:space="preserve"> </w:t>
      </w:r>
      <w:r w:rsidRPr="003D2FD4">
        <w:t>(1</w:t>
      </w:r>
      <w:proofErr w:type="gramStart"/>
      <w:r w:rsidRPr="003D2FD4">
        <w:t>+(</w:t>
      </w:r>
      <w:proofErr w:type="gramEnd"/>
      <w:r w:rsidRPr="003D2FD4">
        <w:t>1-.35)</w:t>
      </w:r>
      <w:r>
        <w:t xml:space="preserve"> *5/16)</w:t>
      </w:r>
    </w:p>
    <w:p w:rsidR="003D2FD4" w:rsidRDefault="003D2FD4" w:rsidP="003D2FD4">
      <w:pPr>
        <w:pStyle w:val="NoSpacing"/>
      </w:pPr>
    </w:p>
    <w:p w:rsidR="003D2FD4" w:rsidRDefault="003D2FD4" w:rsidP="003D2FD4">
      <w:pPr>
        <w:pStyle w:val="NoSpacing"/>
      </w:pPr>
      <w:proofErr w:type="gramStart"/>
      <w:r>
        <w:rPr>
          <w:rFonts w:cs="Times New Roman"/>
        </w:rPr>
        <w:t>β</w:t>
      </w:r>
      <w:r>
        <w:rPr>
          <w:sz w:val="20"/>
          <w:vertAlign w:val="subscript"/>
        </w:rPr>
        <w:t>A</w:t>
      </w:r>
      <w:proofErr w:type="gramEnd"/>
      <w:r>
        <w:rPr>
          <w:sz w:val="20"/>
        </w:rPr>
        <w:t xml:space="preserve"> </w:t>
      </w:r>
      <w:r>
        <w:t>= .7480519</w:t>
      </w:r>
    </w:p>
    <w:p w:rsidR="003D2FD4" w:rsidRDefault="003D2FD4" w:rsidP="003D2FD4">
      <w:pPr>
        <w:pStyle w:val="NoSpacing"/>
      </w:pPr>
    </w:p>
    <w:p w:rsidR="003D2FD4" w:rsidRDefault="003D2FD4" w:rsidP="003D2FD4">
      <w:pPr>
        <w:pStyle w:val="NoSpacing"/>
      </w:pPr>
      <w:proofErr w:type="gramStart"/>
      <w:r>
        <w:rPr>
          <w:rFonts w:cs="Times New Roman"/>
        </w:rPr>
        <w:t>β</w:t>
      </w:r>
      <w:r>
        <w:rPr>
          <w:sz w:val="20"/>
          <w:vertAlign w:val="subscript"/>
        </w:rPr>
        <w:t>GE</w:t>
      </w:r>
      <w:proofErr w:type="gramEnd"/>
      <w:r>
        <w:rPr>
          <w:sz w:val="20"/>
        </w:rPr>
        <w:t xml:space="preserve"> </w:t>
      </w:r>
      <w:r>
        <w:t>= .7480519 (1 + (1-.35) *2/3)</w:t>
      </w:r>
      <w:r w:rsidR="0085666C">
        <w:t xml:space="preserve"> = 1.0722078</w:t>
      </w:r>
    </w:p>
    <w:p w:rsidR="0085666C" w:rsidRDefault="0085666C" w:rsidP="003D2FD4">
      <w:pPr>
        <w:pStyle w:val="NoSpacing"/>
      </w:pPr>
    </w:p>
    <w:p w:rsidR="0085666C" w:rsidRDefault="0085666C" w:rsidP="003D2FD4">
      <w:pPr>
        <w:pStyle w:val="NoSpacing"/>
      </w:pPr>
      <w:r>
        <w:t>E(R) = 3% + 1.0722078 (5.7%</w:t>
      </w:r>
      <w:proofErr w:type="gramStart"/>
      <w:r>
        <w:t>)  =</w:t>
      </w:r>
      <w:proofErr w:type="gramEnd"/>
      <w:r>
        <w:t xml:space="preserve">  9.11158%</w:t>
      </w:r>
    </w:p>
    <w:p w:rsidR="0085666C" w:rsidRDefault="0085666C" w:rsidP="003D2FD4">
      <w:pPr>
        <w:pStyle w:val="NoSpacing"/>
      </w:pPr>
    </w:p>
    <w:p w:rsidR="0085666C" w:rsidRDefault="0085666C" w:rsidP="003D2FD4">
      <w:pPr>
        <w:pStyle w:val="NoSpacing"/>
      </w:pPr>
      <w:r>
        <w:t xml:space="preserve">WACC = (3/5) (9.11158%) + (2/5) (7%) (1-.35)  </w:t>
      </w:r>
      <w:proofErr w:type="gramStart"/>
      <w:r>
        <w:t>=  7.28695</w:t>
      </w:r>
      <w:proofErr w:type="gramEnd"/>
      <w:r>
        <w:t>%</w:t>
      </w:r>
    </w:p>
    <w:p w:rsidR="0085666C" w:rsidRDefault="0085666C" w:rsidP="003D2FD4">
      <w:pPr>
        <w:pStyle w:val="NoSpacing"/>
      </w:pPr>
    </w:p>
    <w:p w:rsidR="0085666C" w:rsidRDefault="0085666C" w:rsidP="003D2FD4">
      <w:pPr>
        <w:pStyle w:val="NoSpacing"/>
      </w:pPr>
      <w:r>
        <w:t xml:space="preserve">NPV = -10 </w:t>
      </w:r>
      <w:proofErr w:type="gramStart"/>
      <w:r>
        <w:t>mill  +</w:t>
      </w:r>
      <w:proofErr w:type="gramEnd"/>
      <w:r>
        <w:t xml:space="preserve">  </w:t>
      </w:r>
      <w:r w:rsidRPr="0085666C">
        <w:rPr>
          <w:u w:val="single"/>
        </w:rPr>
        <w:t>1.2 mill</w:t>
      </w:r>
    </w:p>
    <w:p w:rsidR="0085666C" w:rsidRDefault="0085666C" w:rsidP="003D2FD4">
      <w:pPr>
        <w:pStyle w:val="NoSpacing"/>
      </w:pPr>
      <w:r>
        <w:t xml:space="preserve">                              .0728695</w:t>
      </w:r>
    </w:p>
    <w:p w:rsidR="0085666C" w:rsidRDefault="0085666C" w:rsidP="003D2FD4">
      <w:pPr>
        <w:pStyle w:val="NoSpacing"/>
      </w:pPr>
    </w:p>
    <w:p w:rsidR="0085666C" w:rsidRPr="0085666C" w:rsidRDefault="0085666C" w:rsidP="003D2FD4">
      <w:pPr>
        <w:pStyle w:val="NoSpacing"/>
        <w:rPr>
          <w:sz w:val="20"/>
        </w:rPr>
      </w:pPr>
      <w:r>
        <w:t xml:space="preserve">         = $6,467,793.70</w:t>
      </w:r>
    </w:p>
    <w:sectPr w:rsidR="0085666C" w:rsidRPr="0085666C" w:rsidSect="00A73A2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E6802"/>
    <w:multiLevelType w:val="hybridMultilevel"/>
    <w:tmpl w:val="B9A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D4"/>
    <w:rsid w:val="001F246B"/>
    <w:rsid w:val="003D2FD4"/>
    <w:rsid w:val="00777259"/>
    <w:rsid w:val="007E6DF2"/>
    <w:rsid w:val="0085666C"/>
    <w:rsid w:val="00A73A25"/>
    <w:rsid w:val="00E24EA0"/>
    <w:rsid w:val="00E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C26D"/>
  <w15:chartTrackingRefBased/>
  <w15:docId w15:val="{BD765789-A69F-4F02-9A0E-3B02F4D6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2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7E6DF2"/>
  </w:style>
  <w:style w:type="paragraph" w:styleId="NoSpacing">
    <w:name w:val="No Spacing"/>
    <w:uiPriority w:val="1"/>
    <w:qFormat/>
    <w:rsid w:val="007E6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3</cp:revision>
  <dcterms:created xsi:type="dcterms:W3CDTF">2019-04-22T18:50:00Z</dcterms:created>
  <dcterms:modified xsi:type="dcterms:W3CDTF">2019-04-22T19:31:00Z</dcterms:modified>
</cp:coreProperties>
</file>