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D" w:rsidRPr="001F4C2D" w:rsidRDefault="000A66A8" w:rsidP="001F4C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Using Crystal Ball for NPV and IRR</w:t>
      </w:r>
      <w:r w:rsidR="00A2537F">
        <w:rPr>
          <w:b/>
          <w:sz w:val="28"/>
          <w:szCs w:val="28"/>
        </w:rPr>
        <w:t xml:space="preserve"> - 2019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  <w:r>
        <w:rPr>
          <w:b/>
          <w:sz w:val="24"/>
        </w:rPr>
        <w:t>Example</w:t>
      </w:r>
      <w:r w:rsidR="00A2537F">
        <w:rPr>
          <w:sz w:val="24"/>
        </w:rPr>
        <w:t>:  You plan to o</w:t>
      </w:r>
      <w:r>
        <w:rPr>
          <w:sz w:val="24"/>
        </w:rPr>
        <w:t>pen a new supermarket.  Here is what we expect (in thousands of dollars). These are our expected values.</w:t>
      </w:r>
      <w:r w:rsidR="00A2537F">
        <w:rPr>
          <w:sz w:val="24"/>
        </w:rPr>
        <w:t xml:space="preserve"> We expect sales, variable costs, and fixed costs to stay level for 12 years and then grow at a constant terminal growth rate. We will depreciate the initial investment over the lifetime of the project.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  <w:r>
        <w:rPr>
          <w:b/>
          <w:sz w:val="24"/>
        </w:rPr>
        <w:t>Fixed Costs</w:t>
      </w:r>
      <w:r>
        <w:rPr>
          <w:sz w:val="24"/>
        </w:rPr>
        <w:t xml:space="preserve">  - Costs incurred regardless of the level of sales</w:t>
      </w:r>
    </w:p>
    <w:p w:rsidR="00594312" w:rsidRDefault="00594312">
      <w:pPr>
        <w:rPr>
          <w:sz w:val="24"/>
        </w:rPr>
      </w:pPr>
      <w:r>
        <w:rPr>
          <w:b/>
          <w:sz w:val="24"/>
        </w:rPr>
        <w:t>Variable Costs</w:t>
      </w:r>
      <w:r>
        <w:rPr>
          <w:sz w:val="24"/>
        </w:rPr>
        <w:t xml:space="preserve">  - Costs that rise as sales rise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  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1-12</w:t>
      </w:r>
      <w:r>
        <w:rPr>
          <w:sz w:val="24"/>
        </w:rPr>
        <w:t>____________</w:t>
      </w:r>
    </w:p>
    <w:p w:rsidR="00594312" w:rsidRDefault="00594312">
      <w:pPr>
        <w:pStyle w:val="Heading1"/>
      </w:pPr>
      <w:r>
        <w:t>Initial Investment</w:t>
      </w:r>
      <w:r>
        <w:tab/>
        <w:t xml:space="preserve">$5,400 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  <w:r>
        <w:rPr>
          <w:sz w:val="24"/>
        </w:rPr>
        <w:t>1. Sales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16,000</w:t>
      </w:r>
    </w:p>
    <w:p w:rsidR="00594312" w:rsidRDefault="00594312">
      <w:pPr>
        <w:rPr>
          <w:sz w:val="24"/>
        </w:rPr>
      </w:pPr>
      <w:r>
        <w:rPr>
          <w:sz w:val="24"/>
        </w:rPr>
        <w:t>2. Var. Costs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81.25% of sales  =  $13,000  </w:t>
      </w:r>
    </w:p>
    <w:p w:rsidR="00594312" w:rsidRDefault="00594312">
      <w:pPr>
        <w:rPr>
          <w:sz w:val="24"/>
        </w:rPr>
      </w:pPr>
      <w:r>
        <w:rPr>
          <w:sz w:val="24"/>
        </w:rPr>
        <w:t>3. Fixed Costs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2,000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4312" w:rsidRDefault="00594312">
      <w:pPr>
        <w:rPr>
          <w:sz w:val="24"/>
        </w:rPr>
      </w:pPr>
      <w:r>
        <w:rPr>
          <w:sz w:val="24"/>
        </w:rPr>
        <w:t>4. Depreciation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450</w:t>
      </w:r>
      <w:r>
        <w:rPr>
          <w:sz w:val="24"/>
        </w:rPr>
        <w:tab/>
        <w:t xml:space="preserve">  </w:t>
      </w:r>
    </w:p>
    <w:p w:rsidR="00594312" w:rsidRDefault="00594312">
      <w:pPr>
        <w:rPr>
          <w:sz w:val="24"/>
        </w:rPr>
      </w:pPr>
      <w:r>
        <w:rPr>
          <w:sz w:val="24"/>
        </w:rPr>
        <w:t>5. EBIT</w:t>
      </w:r>
    </w:p>
    <w:p w:rsidR="00594312" w:rsidRDefault="00594312">
      <w:pPr>
        <w:rPr>
          <w:sz w:val="24"/>
        </w:rPr>
      </w:pPr>
      <w:r>
        <w:rPr>
          <w:sz w:val="24"/>
        </w:rPr>
        <w:t xml:space="preserve">   (1-2-3-4= EBIT)</w:t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550</w:t>
      </w:r>
    </w:p>
    <w:p w:rsidR="00594312" w:rsidRDefault="00A2537F">
      <w:pPr>
        <w:rPr>
          <w:sz w:val="24"/>
        </w:rPr>
      </w:pPr>
      <w:r>
        <w:rPr>
          <w:sz w:val="24"/>
        </w:rPr>
        <w:t>6. Taxes  (21</w:t>
      </w:r>
      <w:r w:rsidR="00CC246E">
        <w:rPr>
          <w:sz w:val="24"/>
        </w:rPr>
        <w:t>%)</w:t>
      </w:r>
      <w:r w:rsidR="00CC246E">
        <w:rPr>
          <w:sz w:val="24"/>
        </w:rPr>
        <w:tab/>
        <w:t xml:space="preserve">    </w:t>
      </w:r>
      <w:r w:rsidR="00CC246E">
        <w:rPr>
          <w:sz w:val="24"/>
        </w:rPr>
        <w:tab/>
      </w:r>
      <w:r w:rsidR="00CC246E">
        <w:rPr>
          <w:sz w:val="24"/>
        </w:rPr>
        <w:tab/>
        <w:t xml:space="preserve">    193</w:t>
      </w:r>
    </w:p>
    <w:p w:rsidR="00594312" w:rsidRDefault="00CC246E">
      <w:pPr>
        <w:rPr>
          <w:sz w:val="24"/>
        </w:rPr>
      </w:pPr>
      <w:r>
        <w:rPr>
          <w:sz w:val="24"/>
        </w:rPr>
        <w:t xml:space="preserve">7. Net Income  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358</w:t>
      </w:r>
    </w:p>
    <w:p w:rsidR="00594312" w:rsidRDefault="00594312">
      <w:pPr>
        <w:rPr>
          <w:sz w:val="24"/>
        </w:rPr>
      </w:pPr>
      <w:r>
        <w:rPr>
          <w:sz w:val="24"/>
        </w:rPr>
        <w:t xml:space="preserve">8. CF from Operations    </w:t>
      </w:r>
    </w:p>
    <w:p w:rsidR="00594312" w:rsidRDefault="00CC246E">
      <w:pPr>
        <w:rPr>
          <w:sz w:val="24"/>
        </w:rPr>
      </w:pPr>
      <w:r>
        <w:rPr>
          <w:sz w:val="24"/>
        </w:rPr>
        <w:t xml:space="preserve">    (4+7)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808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  <w:r>
        <w:rPr>
          <w:sz w:val="24"/>
        </w:rPr>
        <w:t xml:space="preserve">Net Cash </w:t>
      </w:r>
      <w:r w:rsidR="00CC246E">
        <w:rPr>
          <w:sz w:val="24"/>
        </w:rPr>
        <w:t>Flow</w:t>
      </w:r>
      <w:r w:rsidR="00CC246E">
        <w:rPr>
          <w:sz w:val="24"/>
        </w:rPr>
        <w:tab/>
        <w:t>-$5,400</w:t>
      </w:r>
      <w:r w:rsidR="00CC246E">
        <w:rPr>
          <w:sz w:val="24"/>
        </w:rPr>
        <w:tab/>
        <w:t xml:space="preserve">  +808</w:t>
      </w:r>
    </w:p>
    <w:p w:rsidR="00CC246E" w:rsidRDefault="00CC246E">
      <w:pPr>
        <w:rPr>
          <w:sz w:val="24"/>
        </w:rPr>
      </w:pPr>
    </w:p>
    <w:p w:rsidR="00594312" w:rsidRDefault="00CC246E">
      <w:pPr>
        <w:rPr>
          <w:sz w:val="24"/>
        </w:rPr>
      </w:pPr>
      <w:r>
        <w:rPr>
          <w:sz w:val="24"/>
        </w:rPr>
        <w:t>Opp. Cost of Capital = 12</w:t>
      </w:r>
      <w:r w:rsidR="00594312">
        <w:rPr>
          <w:sz w:val="24"/>
        </w:rPr>
        <w:t>%</w:t>
      </w:r>
    </w:p>
    <w:p w:rsidR="00CC246E" w:rsidRDefault="00CC246E">
      <w:pPr>
        <w:rPr>
          <w:sz w:val="24"/>
        </w:rPr>
      </w:pPr>
    </w:p>
    <w:p w:rsidR="00594312" w:rsidRDefault="00CC246E">
      <w:pPr>
        <w:rPr>
          <w:sz w:val="24"/>
        </w:rPr>
      </w:pPr>
      <w:r>
        <w:rPr>
          <w:sz w:val="24"/>
        </w:rPr>
        <w:t>Terminal Growth Rate after year 12 = 3%</w:t>
      </w:r>
    </w:p>
    <w:p w:rsidR="00594312" w:rsidRDefault="00594312">
      <w:pPr>
        <w:rPr>
          <w:sz w:val="24"/>
        </w:rPr>
      </w:pPr>
    </w:p>
    <w:p w:rsidR="00594312" w:rsidRDefault="00954393">
      <w:pPr>
        <w:rPr>
          <w:sz w:val="24"/>
        </w:rPr>
      </w:pPr>
      <w:r>
        <w:rPr>
          <w:sz w:val="24"/>
        </w:rPr>
        <w:t>NPV = $2,399.55</w:t>
      </w:r>
      <w:r w:rsidR="00DD0167">
        <w:rPr>
          <w:sz w:val="24"/>
        </w:rPr>
        <w:t xml:space="preserve"> and IRR = 18.28%, </w:t>
      </w:r>
      <w:r w:rsidR="00594312">
        <w:rPr>
          <w:sz w:val="24"/>
        </w:rPr>
        <w:t xml:space="preserve"> so you should go for it.</w:t>
      </w:r>
    </w:p>
    <w:p w:rsidR="00CC246E" w:rsidRDefault="00CC246E">
      <w:pPr>
        <w:rPr>
          <w:sz w:val="24"/>
        </w:rPr>
      </w:pPr>
    </w:p>
    <w:p w:rsidR="00594312" w:rsidRDefault="00594312">
      <w:pPr>
        <w:rPr>
          <w:sz w:val="24"/>
        </w:rPr>
      </w:pPr>
      <w:r>
        <w:rPr>
          <w:sz w:val="24"/>
        </w:rPr>
        <w:t>Let’s examine this more closely.</w:t>
      </w:r>
      <w:r w:rsidR="000A66A8">
        <w:rPr>
          <w:sz w:val="24"/>
        </w:rPr>
        <w:t xml:space="preserve"> To do a basic sensitivity analysis, we might construct the following chart and see how NPV</w:t>
      </w:r>
      <w:r w:rsidR="00482A88">
        <w:rPr>
          <w:sz w:val="24"/>
        </w:rPr>
        <w:t xml:space="preserve"> (and/or IRR)</w:t>
      </w:r>
      <w:r w:rsidR="000A66A8">
        <w:rPr>
          <w:sz w:val="24"/>
        </w:rPr>
        <w:t xml:space="preserve"> changes when we change one (or more) of these input variables</w:t>
      </w:r>
    </w:p>
    <w:p w:rsidR="00594312" w:rsidRDefault="00CC246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4312" w:rsidRDefault="00CC246E">
      <w:pPr>
        <w:pStyle w:val="Heading3"/>
      </w:pPr>
      <w:r>
        <w:t>Variable</w:t>
      </w:r>
      <w:r>
        <w:tab/>
      </w:r>
      <w:r>
        <w:tab/>
        <w:t>Pessim.</w:t>
      </w:r>
      <w:r>
        <w:tab/>
        <w:t>Expected</w:t>
      </w:r>
      <w:r>
        <w:tab/>
        <w:t>Optim.</w:t>
      </w:r>
    </w:p>
    <w:p w:rsidR="00594312" w:rsidRDefault="00594312">
      <w:pPr>
        <w:rPr>
          <w:sz w:val="24"/>
        </w:rPr>
      </w:pPr>
      <w:r>
        <w:rPr>
          <w:sz w:val="24"/>
        </w:rPr>
        <w:t>Invest</w:t>
      </w:r>
      <w:r w:rsidR="0092787F">
        <w:rPr>
          <w:sz w:val="24"/>
        </w:rPr>
        <w:t>m</w:t>
      </w:r>
      <w:r w:rsidR="00CC246E">
        <w:rPr>
          <w:sz w:val="24"/>
        </w:rPr>
        <w:t>ent</w:t>
      </w:r>
      <w:r w:rsidR="00CC246E">
        <w:rPr>
          <w:sz w:val="24"/>
        </w:rPr>
        <w:tab/>
      </w:r>
      <w:r w:rsidR="00CC246E">
        <w:rPr>
          <w:sz w:val="24"/>
        </w:rPr>
        <w:tab/>
        <w:t>$6,200</w:t>
      </w:r>
      <w:r w:rsidR="00CC246E">
        <w:rPr>
          <w:sz w:val="24"/>
        </w:rPr>
        <w:tab/>
      </w:r>
      <w:r w:rsidR="00CC246E">
        <w:rPr>
          <w:sz w:val="24"/>
        </w:rPr>
        <w:tab/>
        <w:t>5,400</w:t>
      </w:r>
      <w:r w:rsidR="00CC246E">
        <w:rPr>
          <w:sz w:val="24"/>
        </w:rPr>
        <w:tab/>
      </w:r>
      <w:r w:rsidR="00CC246E">
        <w:rPr>
          <w:sz w:val="24"/>
        </w:rPr>
        <w:tab/>
        <w:t>5,000</w:t>
      </w:r>
      <w:r w:rsidR="00CC246E">
        <w:rPr>
          <w:sz w:val="24"/>
        </w:rPr>
        <w:tab/>
      </w:r>
      <w:r w:rsidR="00CC246E">
        <w:rPr>
          <w:sz w:val="24"/>
        </w:rPr>
        <w:tab/>
      </w:r>
    </w:p>
    <w:p w:rsidR="00594312" w:rsidRDefault="00594312">
      <w:pPr>
        <w:rPr>
          <w:sz w:val="24"/>
        </w:rPr>
      </w:pPr>
      <w:r>
        <w:rPr>
          <w:sz w:val="24"/>
        </w:rPr>
        <w:t>Sales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14,000</w:t>
      </w:r>
      <w:r>
        <w:rPr>
          <w:sz w:val="24"/>
        </w:rPr>
        <w:tab/>
      </w:r>
      <w:r>
        <w:rPr>
          <w:sz w:val="24"/>
        </w:rPr>
        <w:tab/>
        <w:t>16,000</w:t>
      </w:r>
      <w:r>
        <w:rPr>
          <w:sz w:val="24"/>
        </w:rPr>
        <w:tab/>
      </w:r>
      <w:r>
        <w:rPr>
          <w:sz w:val="24"/>
        </w:rPr>
        <w:tab/>
        <w:t>18,000</w:t>
      </w:r>
      <w:r>
        <w:rPr>
          <w:sz w:val="24"/>
        </w:rPr>
        <w:tab/>
      </w:r>
      <w:r>
        <w:rPr>
          <w:sz w:val="24"/>
        </w:rPr>
        <w:tab/>
      </w:r>
    </w:p>
    <w:p w:rsidR="00594312" w:rsidRDefault="00594312">
      <w:pPr>
        <w:rPr>
          <w:sz w:val="24"/>
        </w:rPr>
      </w:pPr>
      <w:r>
        <w:rPr>
          <w:sz w:val="24"/>
        </w:rPr>
        <w:t>Variable Costs</w:t>
      </w:r>
    </w:p>
    <w:p w:rsidR="00594312" w:rsidRDefault="00594312">
      <w:pPr>
        <w:rPr>
          <w:sz w:val="24"/>
        </w:rPr>
      </w:pPr>
      <w:r>
        <w:rPr>
          <w:sz w:val="24"/>
        </w:rPr>
        <w:t>(% of Sales)</w:t>
      </w:r>
      <w:r>
        <w:rPr>
          <w:sz w:val="24"/>
        </w:rPr>
        <w:tab/>
      </w:r>
      <w:r>
        <w:rPr>
          <w:sz w:val="24"/>
        </w:rPr>
        <w:tab/>
        <w:t>83%</w:t>
      </w:r>
      <w:r>
        <w:rPr>
          <w:sz w:val="24"/>
        </w:rPr>
        <w:tab/>
      </w:r>
      <w:r>
        <w:rPr>
          <w:sz w:val="24"/>
        </w:rPr>
        <w:tab/>
        <w:t>81.25%</w:t>
      </w:r>
      <w:r>
        <w:rPr>
          <w:sz w:val="24"/>
        </w:rPr>
        <w:tab/>
        <w:t>80%</w:t>
      </w:r>
      <w:r>
        <w:rPr>
          <w:sz w:val="24"/>
        </w:rPr>
        <w:tab/>
      </w:r>
      <w:r>
        <w:rPr>
          <w:sz w:val="24"/>
        </w:rPr>
        <w:tab/>
      </w:r>
    </w:p>
    <w:p w:rsidR="00594312" w:rsidRDefault="00594312">
      <w:pPr>
        <w:rPr>
          <w:sz w:val="24"/>
        </w:rPr>
      </w:pPr>
      <w:r>
        <w:rPr>
          <w:sz w:val="24"/>
        </w:rPr>
        <w:t>Fixed Costs</w:t>
      </w:r>
      <w:r>
        <w:rPr>
          <w:sz w:val="24"/>
        </w:rPr>
        <w:tab/>
      </w:r>
      <w:r>
        <w:rPr>
          <w:sz w:val="24"/>
        </w:rPr>
        <w:tab/>
        <w:t>2,100</w:t>
      </w:r>
      <w:r>
        <w:rPr>
          <w:sz w:val="24"/>
        </w:rPr>
        <w:tab/>
      </w:r>
      <w:r>
        <w:rPr>
          <w:sz w:val="24"/>
        </w:rPr>
        <w:tab/>
        <w:t>2,000</w:t>
      </w:r>
      <w:r>
        <w:rPr>
          <w:sz w:val="24"/>
        </w:rPr>
        <w:tab/>
      </w:r>
      <w:r>
        <w:rPr>
          <w:sz w:val="24"/>
        </w:rPr>
        <w:tab/>
        <w:t>1,900</w:t>
      </w:r>
      <w:r>
        <w:rPr>
          <w:sz w:val="24"/>
        </w:rPr>
        <w:tab/>
      </w:r>
      <w:r>
        <w:rPr>
          <w:sz w:val="24"/>
        </w:rPr>
        <w:tab/>
      </w:r>
    </w:p>
    <w:p w:rsidR="00594312" w:rsidRDefault="00CC246E">
      <w:pPr>
        <w:rPr>
          <w:sz w:val="24"/>
        </w:rPr>
      </w:pPr>
      <w:r>
        <w:rPr>
          <w:sz w:val="24"/>
        </w:rPr>
        <w:t>Term. Growth</w:t>
      </w:r>
      <w:r>
        <w:rPr>
          <w:sz w:val="24"/>
        </w:rPr>
        <w:tab/>
      </w:r>
      <w:r>
        <w:rPr>
          <w:sz w:val="24"/>
        </w:rPr>
        <w:tab/>
        <w:t xml:space="preserve">  1%</w:t>
      </w:r>
      <w:r>
        <w:rPr>
          <w:sz w:val="24"/>
        </w:rPr>
        <w:tab/>
      </w:r>
      <w:r>
        <w:rPr>
          <w:sz w:val="24"/>
        </w:rPr>
        <w:tab/>
        <w:t xml:space="preserve">   2%</w:t>
      </w:r>
      <w:r>
        <w:rPr>
          <w:sz w:val="24"/>
        </w:rPr>
        <w:tab/>
      </w:r>
      <w:r>
        <w:rPr>
          <w:sz w:val="24"/>
        </w:rPr>
        <w:tab/>
        <w:t xml:space="preserve">  3%</w:t>
      </w:r>
    </w:p>
    <w:p w:rsidR="00954393" w:rsidRDefault="00954393">
      <w:pPr>
        <w:rPr>
          <w:sz w:val="24"/>
        </w:rPr>
      </w:pPr>
    </w:p>
    <w:p w:rsidR="00594312" w:rsidRDefault="00CC246E">
      <w:pPr>
        <w:rPr>
          <w:sz w:val="24"/>
        </w:rPr>
      </w:pPr>
      <w:r>
        <w:rPr>
          <w:sz w:val="24"/>
        </w:rPr>
        <w:t xml:space="preserve">Excel will allow us to do </w:t>
      </w:r>
      <w:r w:rsidR="004D6B38">
        <w:rPr>
          <w:sz w:val="24"/>
        </w:rPr>
        <w:t>a basic sensitivity analysis without any special tools.</w:t>
      </w:r>
    </w:p>
    <w:p w:rsidR="00594312" w:rsidRDefault="00F4786E">
      <w:pPr>
        <w:rPr>
          <w:sz w:val="24"/>
        </w:rPr>
      </w:pPr>
      <w:r>
        <w:rPr>
          <w:b/>
          <w:sz w:val="24"/>
        </w:rPr>
        <w:lastRenderedPageBreak/>
        <w:t>Monte Carlo</w:t>
      </w:r>
      <w:r w:rsidR="00594312">
        <w:rPr>
          <w:b/>
          <w:sz w:val="24"/>
        </w:rPr>
        <w:t xml:space="preserve"> Analysis</w:t>
      </w:r>
      <w:r w:rsidR="00594312">
        <w:rPr>
          <w:sz w:val="24"/>
        </w:rPr>
        <w:t xml:space="preserve"> - </w:t>
      </w:r>
      <w:r>
        <w:rPr>
          <w:sz w:val="24"/>
        </w:rPr>
        <w:t>Excel</w:t>
      </w:r>
      <w:r w:rsidR="00594312">
        <w:rPr>
          <w:sz w:val="24"/>
        </w:rPr>
        <w:t xml:space="preserve"> generates outcomes under many combinations of assumptions - creating a probability distribution of outcomes.</w:t>
      </w:r>
      <w:r>
        <w:rPr>
          <w:sz w:val="24"/>
        </w:rPr>
        <w:t xml:space="preserve"> This can be done through an add-on called Crystal Ball.</w:t>
      </w:r>
    </w:p>
    <w:p w:rsidR="00594312" w:rsidRDefault="00594312">
      <w:pPr>
        <w:rPr>
          <w:sz w:val="24"/>
        </w:rPr>
      </w:pPr>
    </w:p>
    <w:p w:rsidR="004D6B38" w:rsidRDefault="004D6B38">
      <w:pPr>
        <w:rPr>
          <w:sz w:val="24"/>
        </w:rPr>
      </w:pPr>
    </w:p>
    <w:p w:rsidR="00594312" w:rsidRDefault="004D6B38">
      <w:pPr>
        <w:rPr>
          <w:sz w:val="24"/>
        </w:rPr>
      </w:pPr>
      <w:r>
        <w:rPr>
          <w:sz w:val="24"/>
        </w:rPr>
        <w:t>Assume the following about the variables in this example:</w:t>
      </w:r>
    </w:p>
    <w:p w:rsidR="004D6B38" w:rsidRDefault="004D6B38">
      <w:pPr>
        <w:rPr>
          <w:sz w:val="24"/>
        </w:rPr>
      </w:pPr>
    </w:p>
    <w:p w:rsidR="004D6B38" w:rsidRDefault="004D6B38">
      <w:pPr>
        <w:rPr>
          <w:sz w:val="24"/>
        </w:rPr>
      </w:pPr>
      <w:r>
        <w:rPr>
          <w:sz w:val="24"/>
        </w:rPr>
        <w:t>Investment – triangular distribution</w:t>
      </w:r>
    </w:p>
    <w:p w:rsidR="004D6B38" w:rsidRDefault="004D6B38">
      <w:pPr>
        <w:rPr>
          <w:sz w:val="24"/>
        </w:rPr>
      </w:pPr>
      <w:r>
        <w:rPr>
          <w:sz w:val="24"/>
        </w:rPr>
        <w:t>Sales – normal distribution with mean of 16,000 and standard deviation of 1,000</w:t>
      </w:r>
    </w:p>
    <w:p w:rsidR="004D6B38" w:rsidRDefault="004D6B38">
      <w:pPr>
        <w:rPr>
          <w:sz w:val="24"/>
        </w:rPr>
      </w:pPr>
      <w:r>
        <w:rPr>
          <w:sz w:val="24"/>
        </w:rPr>
        <w:t>Var. Costs – uniform distribution between 80% and 83%</w:t>
      </w:r>
    </w:p>
    <w:p w:rsidR="004D6B38" w:rsidRDefault="004D6B38">
      <w:pPr>
        <w:rPr>
          <w:sz w:val="24"/>
        </w:rPr>
      </w:pPr>
      <w:r>
        <w:rPr>
          <w:sz w:val="24"/>
        </w:rPr>
        <w:t xml:space="preserve">Fixed Costs – 20% probability of pess. and optim. values. 60% prob. of expected value </w:t>
      </w:r>
    </w:p>
    <w:p w:rsidR="004D6B38" w:rsidRDefault="004D6B38">
      <w:pPr>
        <w:rPr>
          <w:sz w:val="24"/>
        </w:rPr>
      </w:pPr>
      <w:r>
        <w:rPr>
          <w:sz w:val="24"/>
        </w:rPr>
        <w:t>Term. Growth – normal distribution with mean of 2% and standard dev. of 0.5%</w:t>
      </w:r>
    </w:p>
    <w:p w:rsidR="004F7104" w:rsidRDefault="004F7104">
      <w:pPr>
        <w:rPr>
          <w:sz w:val="24"/>
        </w:rPr>
      </w:pPr>
      <w:r>
        <w:rPr>
          <w:sz w:val="24"/>
        </w:rPr>
        <w:t>There is a correlation of +0.5 between variable costs and fixed costs</w:t>
      </w:r>
    </w:p>
    <w:p w:rsidR="004D6B38" w:rsidRDefault="004D6B38">
      <w:pPr>
        <w:rPr>
          <w:sz w:val="24"/>
        </w:rPr>
      </w:pPr>
    </w:p>
    <w:p w:rsidR="004D6B38" w:rsidRDefault="004D6B38">
      <w:pPr>
        <w:rPr>
          <w:sz w:val="24"/>
        </w:rPr>
      </w:pPr>
      <w:r>
        <w:rPr>
          <w:sz w:val="24"/>
        </w:rPr>
        <w:t>Run Crystal Ball to see a probability distribution of the NPV and IRR</w:t>
      </w:r>
    </w:p>
    <w:p w:rsidR="004D6B38" w:rsidRDefault="004D6B38">
      <w:pPr>
        <w:rPr>
          <w:sz w:val="24"/>
        </w:rPr>
      </w:pPr>
    </w:p>
    <w:p w:rsidR="004D6B38" w:rsidRDefault="00E245F1">
      <w:pPr>
        <w:rPr>
          <w:sz w:val="24"/>
        </w:rPr>
      </w:pPr>
      <w:r>
        <w:rPr>
          <w:sz w:val="24"/>
        </w:rPr>
        <w:t xml:space="preserve">We are defining 5 assumptions </w:t>
      </w:r>
      <w:r w:rsidR="00482A88">
        <w:rPr>
          <w:sz w:val="24"/>
        </w:rPr>
        <w:t xml:space="preserve">(plus a correlation) </w:t>
      </w:r>
      <w:r>
        <w:rPr>
          <w:sz w:val="24"/>
        </w:rPr>
        <w:t xml:space="preserve">and 2 forecasts. </w:t>
      </w: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</w:p>
    <w:p w:rsidR="00594312" w:rsidRDefault="00594312">
      <w:pPr>
        <w:rPr>
          <w:sz w:val="24"/>
        </w:rPr>
      </w:pPr>
    </w:p>
    <w:sectPr w:rsidR="00594312" w:rsidSect="001F4C2D">
      <w:headerReference w:type="default" r:id="rId7"/>
      <w:footerReference w:type="even" r:id="rId8"/>
      <w:footerReference w:type="default" r:id="rId9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3B" w:rsidRDefault="0043583B">
      <w:r>
        <w:separator/>
      </w:r>
    </w:p>
  </w:endnote>
  <w:endnote w:type="continuationSeparator" w:id="0">
    <w:p w:rsidR="0043583B" w:rsidRDefault="0043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F" w:rsidRDefault="008D2C2F" w:rsidP="00B80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C2F" w:rsidRDefault="008D2C2F" w:rsidP="008D2C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F" w:rsidRDefault="008D2C2F" w:rsidP="00B80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0F9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C2F" w:rsidRDefault="008D2C2F" w:rsidP="008D2C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3B" w:rsidRDefault="0043583B">
      <w:r>
        <w:separator/>
      </w:r>
    </w:p>
  </w:footnote>
  <w:footnote w:type="continuationSeparator" w:id="0">
    <w:p w:rsidR="0043583B" w:rsidRDefault="0043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1B" w:rsidRDefault="00E00A1B">
    <w:pPr>
      <w:pStyle w:val="Header"/>
    </w:pPr>
  </w:p>
  <w:p w:rsidR="00E00A1B" w:rsidRPr="001F4C2D" w:rsidRDefault="00E00A1B">
    <w:pPr>
      <w:pStyle w:val="Header"/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5A33"/>
    <w:multiLevelType w:val="multilevel"/>
    <w:tmpl w:val="5008C904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60"/>
        </w:tabs>
        <w:ind w:left="7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2C"/>
    <w:rsid w:val="000A66A8"/>
    <w:rsid w:val="00190B9E"/>
    <w:rsid w:val="001F4C2D"/>
    <w:rsid w:val="00221D6E"/>
    <w:rsid w:val="00332576"/>
    <w:rsid w:val="0043583B"/>
    <w:rsid w:val="004360A3"/>
    <w:rsid w:val="00482A88"/>
    <w:rsid w:val="00497C82"/>
    <w:rsid w:val="004A567E"/>
    <w:rsid w:val="004D6B38"/>
    <w:rsid w:val="004F7104"/>
    <w:rsid w:val="005007AE"/>
    <w:rsid w:val="00594312"/>
    <w:rsid w:val="00723819"/>
    <w:rsid w:val="00741167"/>
    <w:rsid w:val="00762A76"/>
    <w:rsid w:val="00764C2C"/>
    <w:rsid w:val="008D2C2F"/>
    <w:rsid w:val="008D2D2E"/>
    <w:rsid w:val="0092787F"/>
    <w:rsid w:val="0094300A"/>
    <w:rsid w:val="00954393"/>
    <w:rsid w:val="00A2537F"/>
    <w:rsid w:val="00AB326B"/>
    <w:rsid w:val="00AC6005"/>
    <w:rsid w:val="00B80DA2"/>
    <w:rsid w:val="00CC246E"/>
    <w:rsid w:val="00D4229D"/>
    <w:rsid w:val="00DD0167"/>
    <w:rsid w:val="00E00A1B"/>
    <w:rsid w:val="00E245F1"/>
    <w:rsid w:val="00E820F9"/>
    <w:rsid w:val="00F40DC2"/>
    <w:rsid w:val="00F4786E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DB27-CF57-41B4-B5FB-2DA7CB4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1D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D2C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C2F"/>
  </w:style>
  <w:style w:type="paragraph" w:styleId="Header">
    <w:name w:val="header"/>
    <w:basedOn w:val="Normal"/>
    <w:rsid w:val="00E00A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</vt:lpstr>
    </vt:vector>
  </TitlesOfParts>
  <Company>tulane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</dc:title>
  <dc:subject/>
  <dc:creator>William A. Reese, Jr.</dc:creator>
  <cp:keywords/>
  <cp:lastModifiedBy>Reese, William A</cp:lastModifiedBy>
  <cp:revision>2</cp:revision>
  <cp:lastPrinted>2005-05-17T19:29:00Z</cp:lastPrinted>
  <dcterms:created xsi:type="dcterms:W3CDTF">2019-03-25T20:39:00Z</dcterms:created>
  <dcterms:modified xsi:type="dcterms:W3CDTF">2019-03-25T20:39:00Z</dcterms:modified>
</cp:coreProperties>
</file>