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53" w:rsidRDefault="00556C53">
      <w:pPr>
        <w:pStyle w:val="Title"/>
        <w:rPr>
          <w:b/>
          <w:sz w:val="28"/>
        </w:rPr>
      </w:pPr>
      <w:r>
        <w:rPr>
          <w:b/>
          <w:sz w:val="28"/>
        </w:rPr>
        <w:t>Course Syllabus</w:t>
      </w:r>
      <w:bookmarkStart w:id="0" w:name="_GoBack"/>
      <w:bookmarkEnd w:id="0"/>
    </w:p>
    <w:p w:rsidR="00556C53" w:rsidRDefault="00291124">
      <w:pPr>
        <w:jc w:val="center"/>
        <w:rPr>
          <w:b/>
          <w:sz w:val="28"/>
        </w:rPr>
      </w:pPr>
      <w:r>
        <w:rPr>
          <w:b/>
          <w:sz w:val="28"/>
        </w:rPr>
        <w:t>Corporate Risk Management</w:t>
      </w:r>
    </w:p>
    <w:p w:rsidR="00556C53" w:rsidRPr="005F7C7C" w:rsidRDefault="00291124" w:rsidP="005F7C7C">
      <w:pPr>
        <w:jc w:val="center"/>
        <w:rPr>
          <w:b/>
          <w:sz w:val="28"/>
        </w:rPr>
      </w:pPr>
      <w:r>
        <w:rPr>
          <w:b/>
          <w:sz w:val="28"/>
        </w:rPr>
        <w:t>April</w:t>
      </w:r>
      <w:r w:rsidR="00034DBB">
        <w:rPr>
          <w:b/>
          <w:sz w:val="28"/>
        </w:rPr>
        <w:t xml:space="preserve"> – </w:t>
      </w:r>
      <w:r w:rsidR="00DA7A92">
        <w:rPr>
          <w:b/>
          <w:sz w:val="28"/>
        </w:rPr>
        <w:t>May</w:t>
      </w:r>
      <w:r w:rsidR="00034DBB">
        <w:rPr>
          <w:b/>
          <w:sz w:val="28"/>
        </w:rPr>
        <w:t xml:space="preserve"> </w:t>
      </w:r>
      <w:r w:rsidR="00DA7A92">
        <w:rPr>
          <w:b/>
          <w:sz w:val="28"/>
        </w:rPr>
        <w:t>2019</w:t>
      </w:r>
      <w:r w:rsidR="00F30CF9">
        <w:rPr>
          <w:b/>
          <w:sz w:val="28"/>
        </w:rPr>
        <w:t xml:space="preserve"> </w:t>
      </w:r>
    </w:p>
    <w:p w:rsidR="00556C53" w:rsidRDefault="00556C53">
      <w:pPr>
        <w:rPr>
          <w:sz w:val="24"/>
        </w:rPr>
      </w:pPr>
    </w:p>
    <w:p w:rsidR="00556C53" w:rsidRDefault="00556C53">
      <w:pPr>
        <w:pStyle w:val="Heading1"/>
      </w:pPr>
      <w:r>
        <w:rPr>
          <w:b/>
        </w:rPr>
        <w:t>Course</w:t>
      </w:r>
      <w:r>
        <w:tab/>
      </w:r>
      <w:r>
        <w:tab/>
      </w:r>
      <w:r w:rsidR="00291124">
        <w:t>Corporate Risk Management</w:t>
      </w:r>
    </w:p>
    <w:p w:rsidR="00556C53" w:rsidRDefault="00556C53">
      <w:pPr>
        <w:rPr>
          <w:sz w:val="24"/>
        </w:rPr>
      </w:pPr>
    </w:p>
    <w:p w:rsidR="00556C53" w:rsidRDefault="00556C53">
      <w:pPr>
        <w:pStyle w:val="Heading1"/>
      </w:pPr>
      <w:r>
        <w:rPr>
          <w:b/>
        </w:rPr>
        <w:t>Professor</w:t>
      </w:r>
      <w:r>
        <w:tab/>
      </w:r>
      <w:r>
        <w:tab/>
        <w:t>Bill Reese</w:t>
      </w:r>
    </w:p>
    <w:p w:rsidR="00556C53" w:rsidRDefault="00556C53">
      <w:pPr>
        <w:rPr>
          <w:sz w:val="24"/>
        </w:rPr>
      </w:pPr>
      <w:r>
        <w:rPr>
          <w:sz w:val="24"/>
        </w:rPr>
        <w:tab/>
      </w:r>
      <w:r>
        <w:rPr>
          <w:sz w:val="24"/>
        </w:rPr>
        <w:tab/>
      </w:r>
      <w:r>
        <w:rPr>
          <w:sz w:val="24"/>
        </w:rPr>
        <w:tab/>
        <w:t xml:space="preserve">Office Phone: </w:t>
      </w:r>
      <w:r w:rsidR="00001DB0">
        <w:rPr>
          <w:sz w:val="24"/>
        </w:rPr>
        <w:t>504-</w:t>
      </w:r>
      <w:r>
        <w:rPr>
          <w:sz w:val="24"/>
        </w:rPr>
        <w:t>865-5465</w:t>
      </w:r>
    </w:p>
    <w:p w:rsidR="00556C53" w:rsidRDefault="00556C53">
      <w:pPr>
        <w:rPr>
          <w:sz w:val="24"/>
        </w:rPr>
      </w:pPr>
      <w:r>
        <w:rPr>
          <w:sz w:val="24"/>
        </w:rPr>
        <w:tab/>
      </w:r>
      <w:r>
        <w:rPr>
          <w:sz w:val="24"/>
        </w:rPr>
        <w:tab/>
      </w:r>
      <w:r>
        <w:rPr>
          <w:sz w:val="24"/>
        </w:rPr>
        <w:tab/>
        <w:t xml:space="preserve">E-mail: </w:t>
      </w:r>
      <w:r w:rsidR="008F1381">
        <w:rPr>
          <w:sz w:val="24"/>
        </w:rPr>
        <w:t>wreese@t</w:t>
      </w:r>
      <w:r>
        <w:rPr>
          <w:sz w:val="24"/>
        </w:rPr>
        <w:t>ulane.edu</w:t>
      </w:r>
    </w:p>
    <w:p w:rsidR="00556C53" w:rsidRDefault="00556C53">
      <w:pPr>
        <w:rPr>
          <w:sz w:val="24"/>
        </w:rPr>
      </w:pPr>
    </w:p>
    <w:p w:rsidR="002E6A79" w:rsidRDefault="00556C53">
      <w:pPr>
        <w:rPr>
          <w:sz w:val="24"/>
        </w:rPr>
      </w:pPr>
      <w:r>
        <w:rPr>
          <w:b/>
          <w:sz w:val="24"/>
        </w:rPr>
        <w:t>Text</w:t>
      </w:r>
      <w:r>
        <w:rPr>
          <w:sz w:val="24"/>
        </w:rPr>
        <w:tab/>
      </w:r>
      <w:r>
        <w:rPr>
          <w:sz w:val="24"/>
        </w:rPr>
        <w:tab/>
      </w:r>
      <w:r>
        <w:rPr>
          <w:sz w:val="24"/>
        </w:rPr>
        <w:tab/>
      </w:r>
      <w:r w:rsidR="00C73AAB">
        <w:rPr>
          <w:i/>
          <w:sz w:val="24"/>
        </w:rPr>
        <w:t xml:space="preserve">Risk Management &amp; </w:t>
      </w:r>
      <w:proofErr w:type="gramStart"/>
      <w:r w:rsidR="00C73AAB">
        <w:rPr>
          <w:i/>
          <w:sz w:val="24"/>
        </w:rPr>
        <w:t>Derivatives</w:t>
      </w:r>
      <w:r w:rsidR="006B2BEE">
        <w:rPr>
          <w:sz w:val="24"/>
        </w:rPr>
        <w:t xml:space="preserve">  </w:t>
      </w:r>
      <w:r w:rsidR="00C73AAB">
        <w:rPr>
          <w:sz w:val="24"/>
        </w:rPr>
        <w:t>by</w:t>
      </w:r>
      <w:proofErr w:type="gramEnd"/>
      <w:r w:rsidR="00C73AAB">
        <w:rPr>
          <w:sz w:val="24"/>
        </w:rPr>
        <w:t xml:space="preserve"> Rene M. </w:t>
      </w:r>
      <w:proofErr w:type="spellStart"/>
      <w:r w:rsidR="00C73AAB">
        <w:rPr>
          <w:sz w:val="24"/>
        </w:rPr>
        <w:t>Stulz</w:t>
      </w:r>
      <w:proofErr w:type="spellEnd"/>
    </w:p>
    <w:p w:rsidR="00A23591" w:rsidRDefault="00A23591">
      <w:pPr>
        <w:rPr>
          <w:sz w:val="24"/>
        </w:rPr>
      </w:pPr>
    </w:p>
    <w:p w:rsidR="00556C53" w:rsidRDefault="00556C53">
      <w:pPr>
        <w:rPr>
          <w:sz w:val="24"/>
        </w:rPr>
      </w:pPr>
      <w:r>
        <w:rPr>
          <w:b/>
          <w:sz w:val="24"/>
        </w:rPr>
        <w:t>Prerequisites</w:t>
      </w:r>
      <w:r>
        <w:rPr>
          <w:sz w:val="24"/>
        </w:rPr>
        <w:tab/>
      </w:r>
      <w:r>
        <w:rPr>
          <w:sz w:val="24"/>
        </w:rPr>
        <w:tab/>
      </w:r>
      <w:r w:rsidR="00CC0403">
        <w:rPr>
          <w:sz w:val="24"/>
        </w:rPr>
        <w:t>Financial Management 1 and 2</w:t>
      </w:r>
    </w:p>
    <w:p w:rsidR="00A17DD6" w:rsidRDefault="00A17DD6">
      <w:pPr>
        <w:rPr>
          <w:sz w:val="24"/>
        </w:rPr>
      </w:pPr>
    </w:p>
    <w:p w:rsidR="00556C53" w:rsidRDefault="00556C53">
      <w:pPr>
        <w:rPr>
          <w:sz w:val="24"/>
        </w:rPr>
      </w:pPr>
      <w:r>
        <w:rPr>
          <w:b/>
          <w:sz w:val="24"/>
        </w:rPr>
        <w:t>Grading</w:t>
      </w:r>
      <w:r w:rsidR="00F30CF9">
        <w:rPr>
          <w:sz w:val="24"/>
        </w:rPr>
        <w:tab/>
      </w:r>
      <w:r w:rsidR="00F30CF9">
        <w:rPr>
          <w:sz w:val="24"/>
        </w:rPr>
        <w:tab/>
      </w:r>
      <w:r w:rsidR="00416141">
        <w:rPr>
          <w:sz w:val="24"/>
        </w:rPr>
        <w:t>Take-H</w:t>
      </w:r>
      <w:r w:rsidR="00034DBB">
        <w:rPr>
          <w:sz w:val="24"/>
        </w:rPr>
        <w:t xml:space="preserve">ome </w:t>
      </w:r>
      <w:r>
        <w:rPr>
          <w:sz w:val="24"/>
        </w:rPr>
        <w:t>Exam</w:t>
      </w:r>
      <w:r>
        <w:rPr>
          <w:sz w:val="24"/>
        </w:rPr>
        <w:tab/>
      </w:r>
      <w:r w:rsidR="00034DBB">
        <w:rPr>
          <w:sz w:val="24"/>
        </w:rPr>
        <w:tab/>
      </w:r>
      <w:r w:rsidR="00C73AAB">
        <w:rPr>
          <w:sz w:val="24"/>
        </w:rPr>
        <w:t>45</w:t>
      </w:r>
      <w:r>
        <w:rPr>
          <w:sz w:val="24"/>
        </w:rPr>
        <w:t xml:space="preserve">% </w:t>
      </w:r>
    </w:p>
    <w:p w:rsidR="00556C53" w:rsidRDefault="00556C53">
      <w:pPr>
        <w:rPr>
          <w:sz w:val="24"/>
        </w:rPr>
      </w:pPr>
      <w:r>
        <w:rPr>
          <w:sz w:val="24"/>
        </w:rPr>
        <w:tab/>
      </w:r>
      <w:r>
        <w:rPr>
          <w:sz w:val="24"/>
        </w:rPr>
        <w:tab/>
      </w:r>
      <w:r>
        <w:rPr>
          <w:sz w:val="24"/>
        </w:rPr>
        <w:tab/>
      </w:r>
      <w:r w:rsidR="00CC0403">
        <w:rPr>
          <w:sz w:val="24"/>
        </w:rPr>
        <w:t>Homeworks</w:t>
      </w:r>
      <w:r w:rsidR="005353C1">
        <w:rPr>
          <w:sz w:val="24"/>
        </w:rPr>
        <w:tab/>
      </w:r>
      <w:r w:rsidR="00150E9E">
        <w:rPr>
          <w:sz w:val="24"/>
        </w:rPr>
        <w:tab/>
      </w:r>
      <w:r w:rsidR="00034DBB">
        <w:rPr>
          <w:sz w:val="24"/>
        </w:rPr>
        <w:tab/>
      </w:r>
      <w:r w:rsidR="00253573">
        <w:rPr>
          <w:sz w:val="24"/>
        </w:rPr>
        <w:t>3</w:t>
      </w:r>
      <w:r>
        <w:rPr>
          <w:sz w:val="24"/>
        </w:rPr>
        <w:t xml:space="preserve">0% </w:t>
      </w:r>
      <w:r w:rsidR="00CC0403">
        <w:rPr>
          <w:sz w:val="24"/>
        </w:rPr>
        <w:t xml:space="preserve"> </w:t>
      </w:r>
    </w:p>
    <w:p w:rsidR="00C73AAB" w:rsidRDefault="00253573">
      <w:pPr>
        <w:rPr>
          <w:sz w:val="24"/>
        </w:rPr>
      </w:pPr>
      <w:r>
        <w:rPr>
          <w:sz w:val="24"/>
        </w:rPr>
        <w:tab/>
      </w:r>
      <w:r>
        <w:rPr>
          <w:sz w:val="24"/>
        </w:rPr>
        <w:tab/>
      </w:r>
      <w:r>
        <w:rPr>
          <w:sz w:val="24"/>
        </w:rPr>
        <w:tab/>
        <w:t>Quizzes</w:t>
      </w:r>
      <w:r>
        <w:rPr>
          <w:sz w:val="24"/>
        </w:rPr>
        <w:tab/>
      </w:r>
      <w:r>
        <w:rPr>
          <w:sz w:val="24"/>
        </w:rPr>
        <w:tab/>
      </w:r>
      <w:r>
        <w:rPr>
          <w:sz w:val="24"/>
        </w:rPr>
        <w:tab/>
        <w:t>2</w:t>
      </w:r>
      <w:r w:rsidR="00C73AAB">
        <w:rPr>
          <w:sz w:val="24"/>
        </w:rPr>
        <w:t>0%</w:t>
      </w:r>
    </w:p>
    <w:p w:rsidR="00EB5F68" w:rsidRDefault="00034DBB">
      <w:pPr>
        <w:rPr>
          <w:sz w:val="24"/>
        </w:rPr>
      </w:pPr>
      <w:r>
        <w:rPr>
          <w:sz w:val="24"/>
        </w:rPr>
        <w:tab/>
      </w:r>
      <w:r>
        <w:rPr>
          <w:sz w:val="24"/>
        </w:rPr>
        <w:tab/>
      </w:r>
      <w:r>
        <w:rPr>
          <w:sz w:val="24"/>
        </w:rPr>
        <w:tab/>
      </w:r>
      <w:r w:rsidR="00B85BC2">
        <w:rPr>
          <w:sz w:val="24"/>
        </w:rPr>
        <w:t>Attendance</w:t>
      </w:r>
      <w:r w:rsidR="00C01CED">
        <w:rPr>
          <w:sz w:val="24"/>
        </w:rPr>
        <w:tab/>
      </w:r>
      <w:r w:rsidR="00C01CED">
        <w:rPr>
          <w:sz w:val="24"/>
        </w:rPr>
        <w:tab/>
      </w:r>
      <w:r w:rsidR="00C01CED">
        <w:rPr>
          <w:sz w:val="24"/>
        </w:rPr>
        <w:tab/>
      </w:r>
      <w:r w:rsidR="00C73AAB">
        <w:rPr>
          <w:sz w:val="24"/>
        </w:rPr>
        <w:t xml:space="preserve">  </w:t>
      </w:r>
      <w:r w:rsidR="00C01CED">
        <w:rPr>
          <w:sz w:val="24"/>
        </w:rPr>
        <w:t>5</w:t>
      </w:r>
      <w:r>
        <w:rPr>
          <w:sz w:val="24"/>
        </w:rPr>
        <w:t>%</w:t>
      </w:r>
      <w:r w:rsidR="00556C53">
        <w:rPr>
          <w:sz w:val="24"/>
        </w:rPr>
        <w:tab/>
      </w:r>
      <w:r w:rsidR="00556C53">
        <w:rPr>
          <w:sz w:val="24"/>
        </w:rPr>
        <w:tab/>
      </w:r>
      <w:r w:rsidR="00556C53">
        <w:rPr>
          <w:sz w:val="24"/>
        </w:rPr>
        <w:tab/>
      </w:r>
      <w:r w:rsidR="00556C53">
        <w:rPr>
          <w:sz w:val="24"/>
        </w:rPr>
        <w:tab/>
      </w:r>
    </w:p>
    <w:p w:rsidR="00556C53" w:rsidRDefault="00556C53">
      <w:pPr>
        <w:rPr>
          <w:sz w:val="24"/>
        </w:rPr>
      </w:pPr>
    </w:p>
    <w:p w:rsidR="00740081" w:rsidRDefault="00556C53" w:rsidP="00D352A7">
      <w:pPr>
        <w:ind w:left="2160" w:right="-180" w:hanging="2160"/>
        <w:rPr>
          <w:sz w:val="24"/>
        </w:rPr>
      </w:pPr>
      <w:r w:rsidRPr="00740081">
        <w:rPr>
          <w:b/>
          <w:sz w:val="24"/>
          <w:szCs w:val="24"/>
        </w:rPr>
        <w:t>Objectives</w:t>
      </w:r>
      <w:r>
        <w:t xml:space="preserve">: </w:t>
      </w:r>
      <w:r>
        <w:tab/>
      </w:r>
      <w:r w:rsidR="00C73AAB">
        <w:rPr>
          <w:sz w:val="24"/>
        </w:rPr>
        <w:t>This course will cover a broad range of topics pertaining to derivative instruments used in the practice of corporate risk management. Specifically, we will discuss the fundamentals, mechanics and application of forwards, futures and swaps to manage risk associated with interest rate changes and currency exchange fluctuations. We will also look at credit default swaps, credit default swaps, equity derivatives, and weather derivatives.</w:t>
      </w:r>
      <w:r w:rsidR="00C01CED">
        <w:rPr>
          <w:sz w:val="24"/>
        </w:rPr>
        <w:t xml:space="preserve"> </w:t>
      </w:r>
    </w:p>
    <w:p w:rsidR="007D1225" w:rsidRPr="00740081" w:rsidRDefault="007D1225" w:rsidP="00D352A7">
      <w:pPr>
        <w:ind w:left="2160" w:right="-180" w:hanging="2160"/>
        <w:rPr>
          <w:b/>
          <w:sz w:val="24"/>
        </w:rPr>
      </w:pPr>
    </w:p>
    <w:p w:rsidR="005F7C7C" w:rsidRDefault="005353C1" w:rsidP="00C01CED">
      <w:pPr>
        <w:pStyle w:val="BodyTextIndent2"/>
      </w:pPr>
      <w:r>
        <w:t>.</w:t>
      </w:r>
    </w:p>
    <w:p w:rsidR="00556C53" w:rsidRDefault="00556C53">
      <w:pPr>
        <w:rPr>
          <w:sz w:val="24"/>
        </w:rPr>
      </w:pPr>
      <w:r>
        <w:rPr>
          <w:b/>
          <w:sz w:val="24"/>
        </w:rPr>
        <w:t>Website</w:t>
      </w:r>
      <w:r>
        <w:rPr>
          <w:sz w:val="24"/>
        </w:rPr>
        <w:tab/>
      </w:r>
      <w:r>
        <w:rPr>
          <w:sz w:val="24"/>
        </w:rPr>
        <w:tab/>
        <w:t xml:space="preserve">I will be maintaining a website for this course at </w:t>
      </w:r>
    </w:p>
    <w:p w:rsidR="00595D4F" w:rsidRPr="00C73AAB" w:rsidRDefault="00080CE4" w:rsidP="004D092F">
      <w:pPr>
        <w:ind w:left="2160"/>
        <w:rPr>
          <w:sz w:val="24"/>
          <w:szCs w:val="24"/>
        </w:rPr>
      </w:pPr>
      <w:hyperlink r:id="rId5" w:history="1">
        <w:r w:rsidR="00C73AAB" w:rsidRPr="00C73AAB">
          <w:rPr>
            <w:rStyle w:val="Hyperlink"/>
            <w:sz w:val="24"/>
            <w:szCs w:val="24"/>
          </w:rPr>
          <w:t>http://breesecrm.wp.tulane.edu</w:t>
        </w:r>
      </w:hyperlink>
      <w:r w:rsidR="00C73AAB" w:rsidRPr="00C73AAB">
        <w:rPr>
          <w:sz w:val="24"/>
          <w:szCs w:val="24"/>
        </w:rPr>
        <w:t xml:space="preserve"> </w:t>
      </w:r>
      <w:r w:rsidR="00D352A7" w:rsidRPr="00C73AAB">
        <w:rPr>
          <w:sz w:val="24"/>
          <w:szCs w:val="24"/>
        </w:rPr>
        <w:t xml:space="preserve"> </w:t>
      </w:r>
      <w:r w:rsidR="002E6A79" w:rsidRPr="00C73AAB">
        <w:rPr>
          <w:sz w:val="24"/>
          <w:szCs w:val="24"/>
        </w:rPr>
        <w:t xml:space="preserve"> </w:t>
      </w:r>
    </w:p>
    <w:p w:rsidR="004D092F" w:rsidRDefault="004D092F" w:rsidP="004D092F">
      <w:pPr>
        <w:ind w:left="2160"/>
        <w:rPr>
          <w:sz w:val="24"/>
          <w:szCs w:val="24"/>
        </w:rPr>
      </w:pPr>
      <w:r w:rsidRPr="004D092F">
        <w:rPr>
          <w:sz w:val="24"/>
          <w:szCs w:val="24"/>
        </w:rPr>
        <w:t>On it, I will be posting announcements that you will want to read,</w:t>
      </w:r>
      <w:r>
        <w:rPr>
          <w:sz w:val="24"/>
          <w:szCs w:val="24"/>
        </w:rPr>
        <w:t xml:space="preserve"> </w:t>
      </w:r>
      <w:r w:rsidR="00D352A7">
        <w:rPr>
          <w:sz w:val="24"/>
          <w:szCs w:val="24"/>
        </w:rPr>
        <w:t>homework</w:t>
      </w:r>
      <w:r>
        <w:rPr>
          <w:sz w:val="24"/>
          <w:szCs w:val="24"/>
        </w:rPr>
        <w:t xml:space="preserve"> </w:t>
      </w:r>
      <w:r w:rsidR="002D1BF2">
        <w:rPr>
          <w:sz w:val="24"/>
          <w:szCs w:val="24"/>
        </w:rPr>
        <w:t>assignments</w:t>
      </w:r>
      <w:r>
        <w:rPr>
          <w:sz w:val="24"/>
          <w:szCs w:val="24"/>
        </w:rPr>
        <w:t xml:space="preserve">, </w:t>
      </w:r>
      <w:r w:rsidRPr="004D092F">
        <w:rPr>
          <w:sz w:val="24"/>
          <w:szCs w:val="24"/>
        </w:rPr>
        <w:t>cla</w:t>
      </w:r>
      <w:r>
        <w:rPr>
          <w:sz w:val="24"/>
          <w:szCs w:val="24"/>
        </w:rPr>
        <w:t xml:space="preserve">ss notes, </w:t>
      </w:r>
      <w:r w:rsidRPr="004D092F">
        <w:rPr>
          <w:sz w:val="24"/>
          <w:szCs w:val="24"/>
        </w:rPr>
        <w:t>and other worthwhile information. I strongly encourage you to visit the website regularly to keep up with what’s going on in class. In particular, if you print out the class notes</w:t>
      </w:r>
      <w:r w:rsidR="002D1BF2">
        <w:rPr>
          <w:sz w:val="24"/>
          <w:szCs w:val="24"/>
        </w:rPr>
        <w:t xml:space="preserve"> and/or </w:t>
      </w:r>
      <w:proofErr w:type="spellStart"/>
      <w:r w:rsidR="002D1BF2">
        <w:rPr>
          <w:sz w:val="24"/>
          <w:szCs w:val="24"/>
        </w:rPr>
        <w:t>powerpoints</w:t>
      </w:r>
      <w:proofErr w:type="spellEnd"/>
      <w:r w:rsidRPr="004D092F">
        <w:rPr>
          <w:sz w:val="24"/>
          <w:szCs w:val="24"/>
        </w:rPr>
        <w:t xml:space="preserve"> and bring them to class with you, I think you’ll find it easier to follow the lectures and you will not have to spend as much time writing everything down.</w:t>
      </w:r>
    </w:p>
    <w:p w:rsidR="007D1225" w:rsidRPr="004D092F" w:rsidRDefault="007D1225" w:rsidP="004D092F">
      <w:pPr>
        <w:ind w:left="2160"/>
        <w:rPr>
          <w:sz w:val="24"/>
          <w:szCs w:val="24"/>
        </w:rPr>
      </w:pPr>
    </w:p>
    <w:p w:rsidR="00A17DD6" w:rsidRPr="004D092F" w:rsidRDefault="00A17DD6" w:rsidP="00D352A7">
      <w:pPr>
        <w:rPr>
          <w:sz w:val="24"/>
          <w:szCs w:val="24"/>
        </w:rPr>
      </w:pPr>
    </w:p>
    <w:p w:rsidR="007D1225" w:rsidRDefault="00A17DD6" w:rsidP="005F7C7C">
      <w:pPr>
        <w:pStyle w:val="BodyTextIndent"/>
        <w:ind w:hanging="2160"/>
        <w:rPr>
          <w:szCs w:val="24"/>
        </w:rPr>
      </w:pPr>
      <w:r>
        <w:rPr>
          <w:b/>
          <w:szCs w:val="24"/>
        </w:rPr>
        <w:t>Preparation</w:t>
      </w:r>
      <w:r w:rsidR="009C39AE">
        <w:rPr>
          <w:szCs w:val="24"/>
        </w:rPr>
        <w:tab/>
      </w:r>
      <w:r w:rsidR="00726D6C">
        <w:rPr>
          <w:szCs w:val="24"/>
        </w:rPr>
        <w:t xml:space="preserve">Prior to the first </w:t>
      </w:r>
      <w:r w:rsidR="002315EA">
        <w:rPr>
          <w:szCs w:val="24"/>
        </w:rPr>
        <w:t>weekend</w:t>
      </w:r>
      <w:r w:rsidR="00726D6C">
        <w:rPr>
          <w:szCs w:val="24"/>
        </w:rPr>
        <w:t>,</w:t>
      </w:r>
      <w:r w:rsidR="009C39AE">
        <w:rPr>
          <w:szCs w:val="24"/>
        </w:rPr>
        <w:t xml:space="preserve"> please </w:t>
      </w:r>
      <w:r w:rsidR="00080CE4">
        <w:rPr>
          <w:szCs w:val="24"/>
        </w:rPr>
        <w:t>read chapters 1, 3, and 4</w:t>
      </w:r>
      <w:r w:rsidR="002D1BF2">
        <w:rPr>
          <w:szCs w:val="24"/>
        </w:rPr>
        <w:t xml:space="preserve"> in the </w:t>
      </w:r>
      <w:proofErr w:type="spellStart"/>
      <w:r w:rsidR="002D1BF2">
        <w:rPr>
          <w:szCs w:val="24"/>
        </w:rPr>
        <w:t>Stulz</w:t>
      </w:r>
      <w:proofErr w:type="spellEnd"/>
      <w:r w:rsidR="002D1BF2">
        <w:rPr>
          <w:szCs w:val="24"/>
        </w:rPr>
        <w:t xml:space="preserve"> text. Please also read</w:t>
      </w:r>
      <w:r w:rsidR="00DA7A92">
        <w:rPr>
          <w:szCs w:val="24"/>
        </w:rPr>
        <w:t xml:space="preserve"> </w:t>
      </w:r>
      <w:r w:rsidR="002D1BF2">
        <w:rPr>
          <w:szCs w:val="24"/>
        </w:rPr>
        <w:t>the Corporate-Value-at-Risk case</w:t>
      </w:r>
      <w:r w:rsidR="00DA7A92">
        <w:rPr>
          <w:szCs w:val="24"/>
        </w:rPr>
        <w:t>.</w:t>
      </w:r>
      <w:r w:rsidR="002D1BF2">
        <w:rPr>
          <w:szCs w:val="24"/>
        </w:rPr>
        <w:t xml:space="preserve"> </w:t>
      </w:r>
    </w:p>
    <w:p w:rsidR="007D1225" w:rsidRDefault="007D1225" w:rsidP="00CC2E53">
      <w:pPr>
        <w:pStyle w:val="BodyTextIndent"/>
        <w:ind w:left="0"/>
        <w:rPr>
          <w:szCs w:val="24"/>
        </w:rPr>
      </w:pPr>
    </w:p>
    <w:p w:rsidR="002D1266" w:rsidRDefault="002D1266" w:rsidP="005F7C7C">
      <w:pPr>
        <w:pStyle w:val="BodyTextIndent"/>
        <w:ind w:hanging="2160"/>
        <w:rPr>
          <w:szCs w:val="24"/>
        </w:rPr>
      </w:pPr>
    </w:p>
    <w:p w:rsidR="00253573" w:rsidRDefault="00253573" w:rsidP="00253573">
      <w:pPr>
        <w:pStyle w:val="BodyTextIndent"/>
        <w:ind w:hanging="2160"/>
        <w:rPr>
          <w:szCs w:val="24"/>
        </w:rPr>
      </w:pPr>
      <w:r>
        <w:rPr>
          <w:b/>
          <w:szCs w:val="24"/>
        </w:rPr>
        <w:t>Homeworks</w:t>
      </w:r>
      <w:r>
        <w:rPr>
          <w:szCs w:val="24"/>
        </w:rPr>
        <w:tab/>
        <w:t xml:space="preserve">At the end of the first, second, and third Saturday, I will give you a homework assignment. </w:t>
      </w:r>
      <w:r w:rsidR="007D1225">
        <w:rPr>
          <w:szCs w:val="24"/>
        </w:rPr>
        <w:t xml:space="preserve">You will be allowed to use your book and notes to complete the homeworks. </w:t>
      </w:r>
      <w:r w:rsidR="00DA7A92">
        <w:rPr>
          <w:szCs w:val="24"/>
        </w:rPr>
        <w:t>For the first and third homeworks, y</w:t>
      </w:r>
      <w:r>
        <w:rPr>
          <w:szCs w:val="24"/>
        </w:rPr>
        <w:t>ou will need to email your solution</w:t>
      </w:r>
      <w:r w:rsidR="007D1225">
        <w:rPr>
          <w:szCs w:val="24"/>
        </w:rPr>
        <w:t>s</w:t>
      </w:r>
      <w:r>
        <w:rPr>
          <w:szCs w:val="24"/>
        </w:rPr>
        <w:t xml:space="preserve"> to each of these assignments by Monday morning of the following week (9 days later). On Monday afternoon, I will post the solutions on the class website. </w:t>
      </w:r>
      <w:r w:rsidR="00F328D0">
        <w:rPr>
          <w:szCs w:val="24"/>
        </w:rPr>
        <w:t xml:space="preserve">For the second homework, you will need to email your solutions to me by Wednesday morning (4 days later – because we </w:t>
      </w:r>
      <w:r w:rsidR="00F328D0">
        <w:rPr>
          <w:szCs w:val="24"/>
        </w:rPr>
        <w:lastRenderedPageBreak/>
        <w:t>meet back-to-back weekends). I will post the solutions by Wednesday afternoon. In each case, w</w:t>
      </w:r>
      <w:r>
        <w:rPr>
          <w:szCs w:val="24"/>
        </w:rPr>
        <w:t xml:space="preserve">e will go over these homeworks at the start of the next class (second, third, and fourth Fridays). </w:t>
      </w:r>
    </w:p>
    <w:p w:rsidR="007D1225" w:rsidRDefault="007D1225" w:rsidP="00253573">
      <w:pPr>
        <w:pStyle w:val="BodyTextIndent"/>
        <w:ind w:hanging="2160"/>
        <w:rPr>
          <w:szCs w:val="24"/>
        </w:rPr>
      </w:pPr>
    </w:p>
    <w:p w:rsidR="007D1225" w:rsidRDefault="007D1225" w:rsidP="00253573">
      <w:pPr>
        <w:pStyle w:val="BodyTextIndent"/>
        <w:ind w:hanging="2160"/>
        <w:rPr>
          <w:szCs w:val="24"/>
        </w:rPr>
      </w:pPr>
    </w:p>
    <w:p w:rsidR="007D1225" w:rsidRDefault="007D1225" w:rsidP="007D1225">
      <w:pPr>
        <w:pStyle w:val="BodyTextIndent"/>
        <w:ind w:hanging="2160"/>
        <w:rPr>
          <w:szCs w:val="24"/>
        </w:rPr>
      </w:pPr>
      <w:r>
        <w:rPr>
          <w:b/>
          <w:szCs w:val="24"/>
        </w:rPr>
        <w:t>Quizzes</w:t>
      </w:r>
      <w:r>
        <w:rPr>
          <w:szCs w:val="24"/>
        </w:rPr>
        <w:tab/>
        <w:t xml:space="preserve">At the start of the third and fourth Fridays (after we have gone over the homework assignments), you will have an in-class quiz that will last about 45 minutes. These will be open-book and open-note quizzes. </w:t>
      </w:r>
    </w:p>
    <w:p w:rsidR="007D1225" w:rsidRDefault="007D1225" w:rsidP="00253573">
      <w:pPr>
        <w:pStyle w:val="BodyTextIndent"/>
        <w:ind w:hanging="2160"/>
        <w:rPr>
          <w:szCs w:val="24"/>
        </w:rPr>
      </w:pPr>
    </w:p>
    <w:p w:rsidR="002D1266" w:rsidRDefault="002D1266" w:rsidP="005F7C7C">
      <w:pPr>
        <w:pStyle w:val="BodyTextIndent"/>
        <w:ind w:hanging="2160"/>
        <w:rPr>
          <w:szCs w:val="24"/>
        </w:rPr>
      </w:pPr>
    </w:p>
    <w:p w:rsidR="007D1225" w:rsidRDefault="007D1225" w:rsidP="007D1225">
      <w:pPr>
        <w:pStyle w:val="BodyTextIndent"/>
        <w:ind w:hanging="2160"/>
        <w:rPr>
          <w:szCs w:val="24"/>
        </w:rPr>
      </w:pPr>
      <w:r>
        <w:rPr>
          <w:b/>
          <w:szCs w:val="24"/>
        </w:rPr>
        <w:t>Exam</w:t>
      </w:r>
      <w:r>
        <w:rPr>
          <w:szCs w:val="24"/>
        </w:rPr>
        <w:tab/>
        <w:t xml:space="preserve">At the end of our final class, I will distribute a take-home exam to you. This will be an open-book and open-note exam. You will have approximately ten days to complete the exam and to email your solutions to me. </w:t>
      </w:r>
    </w:p>
    <w:p w:rsidR="00F328D0" w:rsidRDefault="00F328D0" w:rsidP="007D1225">
      <w:pPr>
        <w:pStyle w:val="BodyTextIndent"/>
        <w:ind w:hanging="2160"/>
        <w:rPr>
          <w:szCs w:val="24"/>
        </w:rPr>
      </w:pPr>
    </w:p>
    <w:p w:rsidR="001E4953" w:rsidRDefault="001E4953" w:rsidP="001E4953">
      <w:pPr>
        <w:ind w:left="2160" w:hanging="2160"/>
        <w:rPr>
          <w:b/>
          <w:sz w:val="24"/>
          <w:szCs w:val="24"/>
        </w:rPr>
      </w:pPr>
      <w:r>
        <w:rPr>
          <w:b/>
          <w:sz w:val="24"/>
          <w:szCs w:val="24"/>
        </w:rPr>
        <w:t>Norms and</w:t>
      </w:r>
    </w:p>
    <w:p w:rsidR="001E4953" w:rsidRPr="007C3C4B" w:rsidRDefault="001E4953" w:rsidP="001E4953">
      <w:pPr>
        <w:ind w:left="2160" w:hanging="2160"/>
        <w:rPr>
          <w:sz w:val="24"/>
          <w:szCs w:val="24"/>
        </w:rPr>
      </w:pPr>
      <w:r>
        <w:rPr>
          <w:b/>
          <w:sz w:val="24"/>
          <w:szCs w:val="24"/>
        </w:rPr>
        <w:t>Expectations</w:t>
      </w:r>
      <w:r w:rsidRPr="007C3C4B">
        <w:rPr>
          <w:sz w:val="24"/>
          <w:szCs w:val="24"/>
        </w:rPr>
        <w:tab/>
      </w:r>
      <w:r>
        <w:rPr>
          <w:sz w:val="24"/>
          <w:szCs w:val="24"/>
        </w:rPr>
        <w:t>This class will be conducted in full accordance with published Norms and Expectations for Students in Freeman Classes. Please review the Norms and Expectations in your program handbook.</w:t>
      </w:r>
    </w:p>
    <w:p w:rsidR="001E4953" w:rsidRDefault="001E4953" w:rsidP="001E4953">
      <w:pPr>
        <w:pStyle w:val="BodyTextIndent"/>
        <w:ind w:left="0"/>
      </w:pPr>
    </w:p>
    <w:p w:rsidR="001E4953" w:rsidRDefault="001E4953" w:rsidP="001E4953">
      <w:pPr>
        <w:pStyle w:val="BodyTextIndent"/>
        <w:ind w:left="0"/>
      </w:pPr>
    </w:p>
    <w:p w:rsidR="001E4953" w:rsidRDefault="001E4953" w:rsidP="001E4953">
      <w:pPr>
        <w:pStyle w:val="BodyTextIndent"/>
        <w:ind w:hanging="2160"/>
      </w:pPr>
      <w:r>
        <w:rPr>
          <w:b/>
        </w:rPr>
        <w:t>Academic Integrity</w:t>
      </w:r>
      <w:r>
        <w:tab/>
        <w:t>This class will be conducted in full accordance with Tulane’s policies about academic integrity including, but not limited to, the Unified Code of Graduate Student Academic Conduct (</w:t>
      </w:r>
      <w:hyperlink r:id="rId6" w:history="1">
        <w:r w:rsidRPr="004B16B7">
          <w:rPr>
            <w:rStyle w:val="Hyperlink"/>
          </w:rPr>
          <w:t>http://tulane.edu/provost/upload/Unified_Code_of_GS_Academic_Conduct_11-14-07.pdf</w:t>
        </w:r>
      </w:hyperlink>
      <w:r>
        <w:t>) and the Tulane University Code of Student conduct (</w:t>
      </w:r>
      <w:hyperlink r:id="rId7" w:history="1">
        <w:r w:rsidRPr="004B16B7">
          <w:rPr>
            <w:rStyle w:val="Hyperlink"/>
          </w:rPr>
          <w:t>http://studentconduct.tulane.edu</w:t>
        </w:r>
      </w:hyperlink>
      <w:r>
        <w:t xml:space="preserve">). </w:t>
      </w:r>
    </w:p>
    <w:p w:rsidR="00F328D0" w:rsidRDefault="00F328D0">
      <w:pPr>
        <w:rPr>
          <w:sz w:val="24"/>
        </w:rPr>
      </w:pPr>
    </w:p>
    <w:p w:rsidR="001E4953" w:rsidRDefault="001E4953" w:rsidP="001E4953">
      <w:pPr>
        <w:pStyle w:val="BodyTextIndent"/>
        <w:ind w:left="0"/>
      </w:pPr>
    </w:p>
    <w:p w:rsidR="001E4953" w:rsidRDefault="001E4953" w:rsidP="001E4953">
      <w:pPr>
        <w:pStyle w:val="BodyTextIndent"/>
        <w:ind w:left="0"/>
      </w:pPr>
    </w:p>
    <w:p w:rsidR="00F328D0" w:rsidRDefault="001E4953" w:rsidP="001E4953">
      <w:pPr>
        <w:pStyle w:val="BodyTextIndent"/>
        <w:ind w:hanging="2160"/>
      </w:pPr>
      <w:r w:rsidRPr="00CF4F9A">
        <w:rPr>
          <w:b/>
        </w:rPr>
        <w:t>Disabilities</w:t>
      </w:r>
      <w:r>
        <w:tab/>
        <w:t xml:space="preserve">Under the Americans with Disability Act and Section 504 of the Rehabilitation Act, if you have a disability, you may have the right to an accommodation; however, the right is contingent upon your taking certain steps. You should review the steps that you need to take, as well as Tulane’s policy concerning accommodations at </w:t>
      </w:r>
      <w:hyperlink r:id="rId8" w:history="1">
        <w:r w:rsidRPr="004B16B7">
          <w:rPr>
            <w:rStyle w:val="Hyperlink"/>
          </w:rPr>
          <w:t>http://erc.tulane.edu/disability/index.html</w:t>
        </w:r>
      </w:hyperlink>
      <w:r>
        <w:t xml:space="preserve">. Any student with a disability, in need of course or examination accommodation, should request an accommodation through the University’s Goldman Office of Disability Services (ODS) located on the first floor of the Mechanical Engineering Building. At the beginning of the semester, please provide me with a copy of your approved ODS accommodation form. I am committed to working with ODS to ensure that I provide you with all approved accommodations. If you do not deliver the approved accommodation form to me, I will not know that ODS approved your accommodation and I will have no basis to provide those accommodations.   </w:t>
      </w:r>
    </w:p>
    <w:p w:rsidR="00F328D0" w:rsidRDefault="00F328D0">
      <w:pPr>
        <w:rPr>
          <w:b/>
          <w:sz w:val="24"/>
        </w:rPr>
      </w:pPr>
      <w:r>
        <w:rPr>
          <w:b/>
        </w:rPr>
        <w:br w:type="page"/>
      </w:r>
    </w:p>
    <w:p w:rsidR="00E86960" w:rsidRPr="00F328D0" w:rsidRDefault="001E4953" w:rsidP="00F328D0">
      <w:pPr>
        <w:pStyle w:val="BodyTextIndent"/>
        <w:ind w:hanging="2160"/>
      </w:pPr>
      <w:r>
        <w:lastRenderedPageBreak/>
        <w:t xml:space="preserve">                                    </w:t>
      </w:r>
      <w:r w:rsidR="005F7C7C">
        <w:rPr>
          <w:b/>
          <w:sz w:val="28"/>
          <w:szCs w:val="28"/>
        </w:rPr>
        <w:t xml:space="preserve">Tentative </w:t>
      </w:r>
      <w:r w:rsidR="00E86960" w:rsidRPr="00002034">
        <w:rPr>
          <w:b/>
          <w:sz w:val="28"/>
          <w:szCs w:val="28"/>
        </w:rPr>
        <w:t>Course Schedule</w:t>
      </w:r>
    </w:p>
    <w:p w:rsidR="00C246A1" w:rsidRPr="00002034" w:rsidRDefault="00C246A1" w:rsidP="00E86960">
      <w:pPr>
        <w:pStyle w:val="BodyTextIndent"/>
        <w:ind w:left="0"/>
        <w:jc w:val="center"/>
        <w:rPr>
          <w:b/>
          <w:sz w:val="28"/>
          <w:szCs w:val="28"/>
        </w:rPr>
      </w:pPr>
    </w:p>
    <w:p w:rsidR="00E86960" w:rsidRDefault="00E86960" w:rsidP="00E86960">
      <w:pPr>
        <w:pStyle w:val="BodyTextIndent"/>
        <w:ind w:left="0"/>
        <w:jc w:val="center"/>
      </w:pPr>
    </w:p>
    <w:tbl>
      <w:tblPr>
        <w:tblW w:w="0" w:type="auto"/>
        <w:tblBorders>
          <w:insideH w:val="single" w:sz="6" w:space="0" w:color="000000"/>
          <w:insideV w:val="single" w:sz="6" w:space="0" w:color="000000"/>
        </w:tblBorders>
        <w:tblLook w:val="04A0" w:firstRow="1" w:lastRow="0" w:firstColumn="1" w:lastColumn="0" w:noHBand="0" w:noVBand="1"/>
      </w:tblPr>
      <w:tblGrid>
        <w:gridCol w:w="1163"/>
        <w:gridCol w:w="3787"/>
        <w:gridCol w:w="1980"/>
        <w:gridCol w:w="1854"/>
      </w:tblGrid>
      <w:tr w:rsidR="002D1BF2" w:rsidRPr="00B85BC2" w:rsidTr="00CC2E53">
        <w:tc>
          <w:tcPr>
            <w:tcW w:w="1163" w:type="dxa"/>
            <w:shd w:val="clear" w:color="auto" w:fill="auto"/>
          </w:tcPr>
          <w:p w:rsidR="002D1BF2" w:rsidRPr="00B85BC2" w:rsidRDefault="002D1BF2" w:rsidP="00B85BC2">
            <w:pPr>
              <w:pStyle w:val="BodyTextIndent"/>
              <w:ind w:left="0"/>
              <w:jc w:val="center"/>
              <w:rPr>
                <w:b/>
                <w:bCs/>
                <w:sz w:val="28"/>
                <w:szCs w:val="28"/>
              </w:rPr>
            </w:pPr>
            <w:r w:rsidRPr="00B85BC2">
              <w:rPr>
                <w:b/>
                <w:bCs/>
                <w:sz w:val="28"/>
                <w:szCs w:val="28"/>
              </w:rPr>
              <w:t>Date</w:t>
            </w:r>
          </w:p>
        </w:tc>
        <w:tc>
          <w:tcPr>
            <w:tcW w:w="3787" w:type="dxa"/>
            <w:shd w:val="clear" w:color="auto" w:fill="auto"/>
          </w:tcPr>
          <w:p w:rsidR="002D1BF2" w:rsidRPr="00B85BC2" w:rsidRDefault="002D1BF2" w:rsidP="00B85BC2">
            <w:pPr>
              <w:pStyle w:val="BodyTextIndent"/>
              <w:ind w:left="0"/>
              <w:jc w:val="center"/>
              <w:rPr>
                <w:b/>
                <w:bCs/>
                <w:sz w:val="28"/>
                <w:szCs w:val="28"/>
              </w:rPr>
            </w:pPr>
            <w:r w:rsidRPr="00B85BC2">
              <w:rPr>
                <w:b/>
                <w:bCs/>
                <w:sz w:val="28"/>
                <w:szCs w:val="28"/>
              </w:rPr>
              <w:t>Material</w:t>
            </w:r>
          </w:p>
        </w:tc>
        <w:tc>
          <w:tcPr>
            <w:tcW w:w="1980" w:type="dxa"/>
            <w:shd w:val="clear" w:color="auto" w:fill="auto"/>
          </w:tcPr>
          <w:p w:rsidR="002D1BF2" w:rsidRPr="00B85BC2" w:rsidRDefault="002D1BF2" w:rsidP="00B85BC2">
            <w:pPr>
              <w:pStyle w:val="BodyTextIndent"/>
              <w:ind w:left="0"/>
              <w:jc w:val="center"/>
              <w:rPr>
                <w:b/>
                <w:bCs/>
                <w:sz w:val="28"/>
                <w:szCs w:val="28"/>
              </w:rPr>
            </w:pPr>
            <w:r w:rsidRPr="00B85BC2">
              <w:rPr>
                <w:b/>
                <w:bCs/>
                <w:sz w:val="28"/>
                <w:szCs w:val="28"/>
              </w:rPr>
              <w:t>Readings</w:t>
            </w:r>
          </w:p>
        </w:tc>
        <w:tc>
          <w:tcPr>
            <w:tcW w:w="1854" w:type="dxa"/>
          </w:tcPr>
          <w:p w:rsidR="002D1BF2" w:rsidRPr="00B85BC2" w:rsidRDefault="002D1BF2" w:rsidP="00B85BC2">
            <w:pPr>
              <w:pStyle w:val="BodyTextIndent"/>
              <w:ind w:left="0"/>
              <w:jc w:val="center"/>
              <w:rPr>
                <w:b/>
                <w:bCs/>
                <w:sz w:val="28"/>
                <w:szCs w:val="28"/>
              </w:rPr>
            </w:pPr>
            <w:r>
              <w:rPr>
                <w:b/>
                <w:bCs/>
                <w:sz w:val="28"/>
                <w:szCs w:val="28"/>
              </w:rPr>
              <w:t>Quizzes and Homeworks</w:t>
            </w:r>
          </w:p>
        </w:tc>
      </w:tr>
      <w:tr w:rsidR="002D1BF2" w:rsidTr="00CC2E53">
        <w:tc>
          <w:tcPr>
            <w:tcW w:w="1163" w:type="dxa"/>
            <w:shd w:val="clear" w:color="auto" w:fill="auto"/>
          </w:tcPr>
          <w:p w:rsidR="002D1BF2" w:rsidRPr="00B85BC2" w:rsidRDefault="002D1BF2" w:rsidP="00B85BC2">
            <w:pPr>
              <w:pStyle w:val="BodyTextIndent"/>
              <w:ind w:left="0"/>
              <w:rPr>
                <w:b/>
                <w:bCs/>
              </w:rPr>
            </w:pPr>
            <w:r w:rsidRPr="00B85BC2">
              <w:rPr>
                <w:b/>
                <w:bCs/>
              </w:rPr>
              <w:t>First Friday</w:t>
            </w:r>
          </w:p>
        </w:tc>
        <w:tc>
          <w:tcPr>
            <w:tcW w:w="3787" w:type="dxa"/>
            <w:shd w:val="clear" w:color="auto" w:fill="auto"/>
          </w:tcPr>
          <w:p w:rsidR="002D1BF2" w:rsidRDefault="00521DCB" w:rsidP="00B85BC2">
            <w:pPr>
              <w:pStyle w:val="BodyTextIndent"/>
              <w:ind w:left="0"/>
            </w:pPr>
            <w:r>
              <w:t xml:space="preserve">Intro to Corporate Risk </w:t>
            </w:r>
            <w:proofErr w:type="spellStart"/>
            <w:r>
              <w:t>Mgmt</w:t>
            </w:r>
            <w:proofErr w:type="spellEnd"/>
          </w:p>
          <w:p w:rsidR="00F328D0" w:rsidRDefault="00F328D0" w:rsidP="00B85BC2">
            <w:pPr>
              <w:pStyle w:val="BodyTextIndent"/>
              <w:ind w:left="0"/>
            </w:pPr>
            <w:r>
              <w:t>Exchange Rate Basics</w:t>
            </w:r>
          </w:p>
          <w:p w:rsidR="00521DCB" w:rsidRDefault="00521DCB" w:rsidP="00521DCB">
            <w:pPr>
              <w:pStyle w:val="BodyTextIndent"/>
              <w:ind w:left="0"/>
            </w:pPr>
            <w:r>
              <w:t>Forward Exchange Rates</w:t>
            </w:r>
          </w:p>
          <w:p w:rsidR="00521DCB" w:rsidRDefault="00521DCB" w:rsidP="00521DCB">
            <w:pPr>
              <w:pStyle w:val="BodyTextIndent"/>
              <w:ind w:left="0"/>
            </w:pPr>
            <w:proofErr w:type="spellStart"/>
            <w:r>
              <w:t>VaR</w:t>
            </w:r>
            <w:proofErr w:type="spellEnd"/>
            <w:r>
              <w:t xml:space="preserve"> with Exchange Rates</w:t>
            </w:r>
          </w:p>
          <w:p w:rsidR="002D1BF2" w:rsidRDefault="002D1BF2" w:rsidP="00B85BC2">
            <w:pPr>
              <w:pStyle w:val="BodyTextIndent"/>
              <w:ind w:left="0"/>
            </w:pPr>
          </w:p>
        </w:tc>
        <w:tc>
          <w:tcPr>
            <w:tcW w:w="1980" w:type="dxa"/>
            <w:shd w:val="clear" w:color="auto" w:fill="auto"/>
          </w:tcPr>
          <w:p w:rsidR="002D1BF2" w:rsidRDefault="00B21372" w:rsidP="00B85BC2">
            <w:pPr>
              <w:pStyle w:val="BodyTextIndent"/>
              <w:ind w:left="0"/>
            </w:pPr>
            <w:proofErr w:type="spellStart"/>
            <w:r>
              <w:t>Stulz</w:t>
            </w:r>
            <w:proofErr w:type="spellEnd"/>
            <w:r>
              <w:t>: 1,3,4</w:t>
            </w:r>
          </w:p>
          <w:p w:rsidR="002D1BF2" w:rsidRDefault="002D1BF2" w:rsidP="00B85BC2">
            <w:pPr>
              <w:pStyle w:val="BodyTextIndent"/>
              <w:ind w:left="0"/>
            </w:pPr>
            <w:r>
              <w:t>Corporate-Value-at-Risk Case</w:t>
            </w:r>
          </w:p>
          <w:p w:rsidR="002D1BF2" w:rsidRDefault="002D1BF2" w:rsidP="00B85BC2">
            <w:pPr>
              <w:pStyle w:val="BodyTextIndent"/>
              <w:ind w:left="0"/>
            </w:pPr>
          </w:p>
        </w:tc>
        <w:tc>
          <w:tcPr>
            <w:tcW w:w="1854" w:type="dxa"/>
          </w:tcPr>
          <w:p w:rsidR="002D1BF2" w:rsidRDefault="002D1BF2" w:rsidP="00B85BC2">
            <w:pPr>
              <w:pStyle w:val="BodyTextIndent"/>
              <w:ind w:left="0"/>
            </w:pPr>
          </w:p>
        </w:tc>
      </w:tr>
      <w:tr w:rsidR="002D1BF2" w:rsidTr="00CC2E53">
        <w:tc>
          <w:tcPr>
            <w:tcW w:w="1163" w:type="dxa"/>
            <w:shd w:val="clear" w:color="auto" w:fill="auto"/>
          </w:tcPr>
          <w:p w:rsidR="002D1BF2" w:rsidRPr="00B85BC2" w:rsidRDefault="002D1BF2" w:rsidP="00B85BC2">
            <w:pPr>
              <w:pStyle w:val="BodyTextIndent"/>
              <w:ind w:left="0"/>
              <w:rPr>
                <w:b/>
                <w:bCs/>
              </w:rPr>
            </w:pPr>
            <w:r w:rsidRPr="00B85BC2">
              <w:rPr>
                <w:b/>
                <w:bCs/>
              </w:rPr>
              <w:t>First Saturday</w:t>
            </w:r>
          </w:p>
        </w:tc>
        <w:tc>
          <w:tcPr>
            <w:tcW w:w="3787" w:type="dxa"/>
            <w:shd w:val="clear" w:color="auto" w:fill="auto"/>
          </w:tcPr>
          <w:p w:rsidR="00F328D0" w:rsidRDefault="00521DCB" w:rsidP="00B85BC2">
            <w:pPr>
              <w:pStyle w:val="BodyTextIndent"/>
              <w:ind w:left="0"/>
            </w:pPr>
            <w:r>
              <w:t>Monte Carlo w/</w:t>
            </w:r>
            <w:r w:rsidR="00F328D0">
              <w:t>Crystal Ball</w:t>
            </w:r>
          </w:p>
          <w:p w:rsidR="002D1BF2" w:rsidRDefault="00F328D0" w:rsidP="00B85BC2">
            <w:pPr>
              <w:pStyle w:val="BodyTextIndent"/>
              <w:ind w:left="0"/>
            </w:pPr>
            <w:r>
              <w:t>Options Basics</w:t>
            </w:r>
          </w:p>
          <w:p w:rsidR="00F328D0" w:rsidRDefault="00F328D0" w:rsidP="00B85BC2">
            <w:pPr>
              <w:pStyle w:val="BodyTextIndent"/>
              <w:ind w:left="0"/>
            </w:pPr>
            <w:r>
              <w:t>Put-Call Parity</w:t>
            </w:r>
          </w:p>
          <w:p w:rsidR="00F328D0" w:rsidRDefault="00F328D0" w:rsidP="00B85BC2">
            <w:pPr>
              <w:pStyle w:val="BodyTextIndent"/>
              <w:ind w:left="0"/>
            </w:pPr>
            <w:r>
              <w:t>Binomial Option Pricing Model</w:t>
            </w:r>
          </w:p>
          <w:p w:rsidR="002D1BF2" w:rsidRDefault="00F328D0" w:rsidP="00B85BC2">
            <w:pPr>
              <w:pStyle w:val="BodyTextIndent"/>
              <w:ind w:left="0"/>
            </w:pPr>
            <w:r>
              <w:t>Black-Scholes Option Pricing Model</w:t>
            </w:r>
          </w:p>
          <w:p w:rsidR="00521DCB" w:rsidRDefault="00521DCB" w:rsidP="00521DCB">
            <w:pPr>
              <w:pStyle w:val="BodyTextIndent"/>
              <w:ind w:left="0"/>
            </w:pPr>
            <w:r>
              <w:t>Understanding C-</w:t>
            </w:r>
            <w:proofErr w:type="spellStart"/>
            <w:r>
              <w:t>VaR</w:t>
            </w:r>
            <w:proofErr w:type="spellEnd"/>
          </w:p>
          <w:p w:rsidR="002D1BF2" w:rsidRDefault="002D1BF2" w:rsidP="00F328D0">
            <w:pPr>
              <w:pStyle w:val="BodyTextIndent"/>
              <w:ind w:left="0"/>
            </w:pPr>
          </w:p>
        </w:tc>
        <w:tc>
          <w:tcPr>
            <w:tcW w:w="1980" w:type="dxa"/>
            <w:shd w:val="clear" w:color="auto" w:fill="auto"/>
          </w:tcPr>
          <w:p w:rsidR="002D1BF2" w:rsidRDefault="002D1BF2" w:rsidP="00CC2E53">
            <w:pPr>
              <w:pStyle w:val="BodyTextIndent"/>
              <w:ind w:left="0"/>
            </w:pPr>
          </w:p>
        </w:tc>
        <w:tc>
          <w:tcPr>
            <w:tcW w:w="1854" w:type="dxa"/>
          </w:tcPr>
          <w:p w:rsidR="002D1BF2" w:rsidRDefault="002D1BF2" w:rsidP="00B85BC2">
            <w:pPr>
              <w:pStyle w:val="BodyTextIndent"/>
              <w:ind w:left="0"/>
            </w:pPr>
          </w:p>
        </w:tc>
      </w:tr>
      <w:tr w:rsidR="00CC2E53" w:rsidTr="00CC2E53">
        <w:tc>
          <w:tcPr>
            <w:tcW w:w="1163" w:type="dxa"/>
            <w:shd w:val="clear" w:color="auto" w:fill="auto"/>
          </w:tcPr>
          <w:p w:rsidR="00CC2E53" w:rsidRPr="00B85BC2" w:rsidRDefault="00CC2E53" w:rsidP="00CC2E53">
            <w:pPr>
              <w:pStyle w:val="BodyTextIndent"/>
              <w:ind w:left="0"/>
              <w:rPr>
                <w:b/>
                <w:bCs/>
              </w:rPr>
            </w:pPr>
            <w:r>
              <w:rPr>
                <w:b/>
                <w:bCs/>
              </w:rPr>
              <w:t>Between Classes</w:t>
            </w:r>
          </w:p>
        </w:tc>
        <w:tc>
          <w:tcPr>
            <w:tcW w:w="3787" w:type="dxa"/>
            <w:shd w:val="clear" w:color="auto" w:fill="auto"/>
          </w:tcPr>
          <w:p w:rsidR="00CC2E53" w:rsidRDefault="00CC2E53" w:rsidP="00CC2E53">
            <w:pPr>
              <w:pStyle w:val="BodyTextIndent"/>
              <w:ind w:left="0"/>
            </w:pPr>
          </w:p>
        </w:tc>
        <w:tc>
          <w:tcPr>
            <w:tcW w:w="1980" w:type="dxa"/>
            <w:shd w:val="clear" w:color="auto" w:fill="auto"/>
          </w:tcPr>
          <w:p w:rsidR="00CC2E53" w:rsidRDefault="00CC2E53" w:rsidP="00CC2E53">
            <w:pPr>
              <w:pStyle w:val="BodyTextIndent"/>
              <w:ind w:left="0"/>
            </w:pPr>
          </w:p>
        </w:tc>
        <w:tc>
          <w:tcPr>
            <w:tcW w:w="1854" w:type="dxa"/>
          </w:tcPr>
          <w:p w:rsidR="00CC2E53" w:rsidRDefault="00CC2E53" w:rsidP="00CC2E53">
            <w:pPr>
              <w:pStyle w:val="BodyTextIndent"/>
              <w:ind w:left="0"/>
            </w:pPr>
            <w:r>
              <w:t>Homework #1 due</w:t>
            </w:r>
          </w:p>
        </w:tc>
      </w:tr>
      <w:tr w:rsidR="00CC2E53" w:rsidTr="00CC2E53">
        <w:tc>
          <w:tcPr>
            <w:tcW w:w="1163" w:type="dxa"/>
            <w:shd w:val="clear" w:color="auto" w:fill="auto"/>
          </w:tcPr>
          <w:p w:rsidR="00CC2E53" w:rsidRPr="00B85BC2" w:rsidRDefault="00CC2E53" w:rsidP="00CC2E53">
            <w:pPr>
              <w:pStyle w:val="BodyTextIndent"/>
              <w:ind w:left="0"/>
              <w:rPr>
                <w:b/>
                <w:bCs/>
              </w:rPr>
            </w:pPr>
            <w:r w:rsidRPr="00B85BC2">
              <w:rPr>
                <w:b/>
                <w:bCs/>
              </w:rPr>
              <w:t>Second Friday</w:t>
            </w:r>
          </w:p>
        </w:tc>
        <w:tc>
          <w:tcPr>
            <w:tcW w:w="3787" w:type="dxa"/>
            <w:shd w:val="clear" w:color="auto" w:fill="auto"/>
          </w:tcPr>
          <w:p w:rsidR="00CC2E53" w:rsidRDefault="00CC2E53" w:rsidP="00CC2E53">
            <w:pPr>
              <w:pStyle w:val="BodyTextIndent"/>
              <w:ind w:left="0"/>
            </w:pPr>
            <w:r>
              <w:t>Go over Homework #1</w:t>
            </w:r>
          </w:p>
          <w:p w:rsidR="00CC2E53" w:rsidRDefault="00521DCB" w:rsidP="00CC2E53">
            <w:pPr>
              <w:pStyle w:val="BodyTextIndent"/>
              <w:ind w:left="0"/>
            </w:pPr>
            <w:r>
              <w:t xml:space="preserve">Mechanics of Forwards and Futures </w:t>
            </w:r>
          </w:p>
          <w:p w:rsidR="00CC2E53" w:rsidRDefault="00CC2E53" w:rsidP="00CC2E53">
            <w:pPr>
              <w:pStyle w:val="BodyTextIndent"/>
              <w:ind w:left="0"/>
            </w:pPr>
            <w:r>
              <w:t>In-Class Exercise</w:t>
            </w:r>
          </w:p>
          <w:p w:rsidR="00CC2E53" w:rsidRDefault="00CC2E53" w:rsidP="00CC2E53">
            <w:pPr>
              <w:pStyle w:val="BodyTextIndent"/>
              <w:ind w:left="0"/>
            </w:pPr>
          </w:p>
        </w:tc>
        <w:tc>
          <w:tcPr>
            <w:tcW w:w="1980" w:type="dxa"/>
            <w:shd w:val="clear" w:color="auto" w:fill="auto"/>
          </w:tcPr>
          <w:p w:rsidR="00CC2E53" w:rsidRDefault="00CC2E53" w:rsidP="00CC2E53">
            <w:pPr>
              <w:pStyle w:val="BodyTextIndent"/>
              <w:ind w:left="0"/>
            </w:pPr>
            <w:proofErr w:type="spellStart"/>
            <w:r>
              <w:t>Stulz</w:t>
            </w:r>
            <w:proofErr w:type="spellEnd"/>
            <w:r>
              <w:t xml:space="preserve">: </w:t>
            </w:r>
            <w:r w:rsidR="00B21372">
              <w:t>5, 9, 14</w:t>
            </w:r>
          </w:p>
          <w:p w:rsidR="00CC2E53" w:rsidRDefault="00CC2E53" w:rsidP="00CC2E53">
            <w:pPr>
              <w:pStyle w:val="BodyTextIndent"/>
              <w:ind w:left="0"/>
            </w:pPr>
          </w:p>
        </w:tc>
        <w:tc>
          <w:tcPr>
            <w:tcW w:w="1854" w:type="dxa"/>
          </w:tcPr>
          <w:p w:rsidR="00CC2E53" w:rsidRDefault="00CC2E53" w:rsidP="00CC2E53">
            <w:pPr>
              <w:pStyle w:val="BodyTextIndent"/>
              <w:ind w:left="0"/>
            </w:pPr>
          </w:p>
        </w:tc>
      </w:tr>
      <w:tr w:rsidR="00CC2E53" w:rsidTr="00CC2E53">
        <w:tc>
          <w:tcPr>
            <w:tcW w:w="1163" w:type="dxa"/>
            <w:shd w:val="clear" w:color="auto" w:fill="auto"/>
          </w:tcPr>
          <w:p w:rsidR="00CC2E53" w:rsidRPr="00B85BC2" w:rsidRDefault="00CC2E53" w:rsidP="00CC2E53">
            <w:pPr>
              <w:pStyle w:val="BodyTextIndent"/>
              <w:ind w:left="0"/>
              <w:rPr>
                <w:b/>
                <w:bCs/>
              </w:rPr>
            </w:pPr>
            <w:r w:rsidRPr="00B85BC2">
              <w:rPr>
                <w:b/>
                <w:bCs/>
              </w:rPr>
              <w:t>Second Saturday</w:t>
            </w:r>
          </w:p>
        </w:tc>
        <w:tc>
          <w:tcPr>
            <w:tcW w:w="3787" w:type="dxa"/>
            <w:shd w:val="clear" w:color="auto" w:fill="auto"/>
          </w:tcPr>
          <w:p w:rsidR="00CC2E53" w:rsidRDefault="00CC2E53" w:rsidP="00CC2E53">
            <w:pPr>
              <w:pStyle w:val="BodyTextIndent"/>
              <w:ind w:left="0"/>
            </w:pPr>
            <w:r>
              <w:t>Interest Rate Futures</w:t>
            </w:r>
          </w:p>
          <w:p w:rsidR="00CC2E53" w:rsidRDefault="00CC2E53" w:rsidP="00CC2E53">
            <w:pPr>
              <w:pStyle w:val="BodyTextIndent"/>
              <w:ind w:left="0"/>
            </w:pPr>
            <w:r>
              <w:t>Conversion Factors</w:t>
            </w:r>
          </w:p>
          <w:p w:rsidR="00CC2E53" w:rsidRDefault="00CC2E53" w:rsidP="00CC2E53">
            <w:pPr>
              <w:pStyle w:val="BodyTextIndent"/>
              <w:ind w:left="0"/>
            </w:pPr>
            <w:r>
              <w:t>Hedging with T-bond Futures</w:t>
            </w:r>
          </w:p>
          <w:p w:rsidR="00CC2E53" w:rsidRDefault="00CC2E53" w:rsidP="00CC2E53">
            <w:pPr>
              <w:pStyle w:val="BodyTextIndent"/>
              <w:ind w:left="0"/>
            </w:pPr>
            <w:r>
              <w:t>Currency Futures and Options with AIFS case</w:t>
            </w:r>
          </w:p>
          <w:p w:rsidR="00CC2E53" w:rsidRDefault="00CC2E53" w:rsidP="00CC2E53">
            <w:pPr>
              <w:pStyle w:val="BodyTextIndent"/>
              <w:ind w:left="0"/>
            </w:pPr>
          </w:p>
        </w:tc>
        <w:tc>
          <w:tcPr>
            <w:tcW w:w="1980" w:type="dxa"/>
            <w:shd w:val="clear" w:color="auto" w:fill="auto"/>
          </w:tcPr>
          <w:p w:rsidR="00CC2E53" w:rsidRDefault="00CC2E53" w:rsidP="00CC2E53">
            <w:pPr>
              <w:pStyle w:val="BodyTextIndent"/>
              <w:ind w:left="0"/>
            </w:pPr>
            <w:r>
              <w:t>AIFS Case</w:t>
            </w:r>
          </w:p>
        </w:tc>
        <w:tc>
          <w:tcPr>
            <w:tcW w:w="1854" w:type="dxa"/>
          </w:tcPr>
          <w:p w:rsidR="00CC2E53" w:rsidRDefault="00CC2E53" w:rsidP="00CC2E53">
            <w:pPr>
              <w:pStyle w:val="BodyTextIndent"/>
              <w:ind w:left="0"/>
            </w:pPr>
          </w:p>
          <w:p w:rsidR="00CC2E53" w:rsidRDefault="00CC2E53" w:rsidP="00CC2E53">
            <w:pPr>
              <w:pStyle w:val="BodyTextIndent"/>
              <w:ind w:left="0"/>
            </w:pPr>
          </w:p>
        </w:tc>
      </w:tr>
      <w:tr w:rsidR="00CC2E53" w:rsidTr="00CC2E53">
        <w:tc>
          <w:tcPr>
            <w:tcW w:w="1163" w:type="dxa"/>
            <w:shd w:val="clear" w:color="auto" w:fill="auto"/>
          </w:tcPr>
          <w:p w:rsidR="00CC2E53" w:rsidRPr="00B85BC2" w:rsidRDefault="00CC2E53" w:rsidP="00CC2E53">
            <w:pPr>
              <w:pStyle w:val="BodyTextIndent"/>
              <w:ind w:left="0"/>
              <w:rPr>
                <w:b/>
                <w:bCs/>
              </w:rPr>
            </w:pPr>
            <w:r>
              <w:rPr>
                <w:b/>
                <w:bCs/>
              </w:rPr>
              <w:t>Between Classes</w:t>
            </w:r>
          </w:p>
        </w:tc>
        <w:tc>
          <w:tcPr>
            <w:tcW w:w="3787" w:type="dxa"/>
            <w:shd w:val="clear" w:color="auto" w:fill="auto"/>
          </w:tcPr>
          <w:p w:rsidR="00CC2E53" w:rsidRDefault="00CC2E53" w:rsidP="00CC2E53">
            <w:pPr>
              <w:pStyle w:val="BodyTextIndent"/>
              <w:ind w:left="0"/>
            </w:pPr>
          </w:p>
        </w:tc>
        <w:tc>
          <w:tcPr>
            <w:tcW w:w="1980" w:type="dxa"/>
            <w:shd w:val="clear" w:color="auto" w:fill="auto"/>
          </w:tcPr>
          <w:p w:rsidR="00CC2E53" w:rsidRDefault="00CC2E53" w:rsidP="00CC2E53">
            <w:pPr>
              <w:pStyle w:val="BodyTextIndent"/>
              <w:ind w:left="0"/>
            </w:pPr>
          </w:p>
        </w:tc>
        <w:tc>
          <w:tcPr>
            <w:tcW w:w="1854" w:type="dxa"/>
          </w:tcPr>
          <w:p w:rsidR="00CC2E53" w:rsidRDefault="00CC2E53" w:rsidP="00CC2E53">
            <w:pPr>
              <w:pStyle w:val="BodyTextIndent"/>
              <w:ind w:left="0"/>
            </w:pPr>
            <w:r>
              <w:t>Homework #2 due</w:t>
            </w:r>
          </w:p>
        </w:tc>
      </w:tr>
      <w:tr w:rsidR="00CC2E53" w:rsidTr="00CC2E53">
        <w:tc>
          <w:tcPr>
            <w:tcW w:w="1163" w:type="dxa"/>
            <w:shd w:val="clear" w:color="auto" w:fill="auto"/>
          </w:tcPr>
          <w:p w:rsidR="00CC2E53" w:rsidRPr="00B85BC2" w:rsidRDefault="00CC2E53" w:rsidP="00CC2E53">
            <w:pPr>
              <w:pStyle w:val="BodyTextIndent"/>
              <w:ind w:left="0"/>
              <w:rPr>
                <w:b/>
                <w:bCs/>
              </w:rPr>
            </w:pPr>
            <w:r w:rsidRPr="00B85BC2">
              <w:rPr>
                <w:b/>
                <w:bCs/>
              </w:rPr>
              <w:t>Third Friday</w:t>
            </w:r>
          </w:p>
        </w:tc>
        <w:tc>
          <w:tcPr>
            <w:tcW w:w="3787" w:type="dxa"/>
            <w:shd w:val="clear" w:color="auto" w:fill="auto"/>
          </w:tcPr>
          <w:p w:rsidR="00CC2E53" w:rsidRDefault="00CC2E53" w:rsidP="00CC2E53">
            <w:pPr>
              <w:pStyle w:val="BodyTextIndent"/>
              <w:ind w:left="0"/>
            </w:pPr>
            <w:r>
              <w:t>Interest Rate Swaps</w:t>
            </w:r>
          </w:p>
          <w:p w:rsidR="00CC2E53" w:rsidRDefault="00CC2E53" w:rsidP="00CC2E53">
            <w:pPr>
              <w:pStyle w:val="BodyTextIndent"/>
              <w:ind w:left="0"/>
            </w:pPr>
          </w:p>
        </w:tc>
        <w:tc>
          <w:tcPr>
            <w:tcW w:w="1980" w:type="dxa"/>
            <w:shd w:val="clear" w:color="auto" w:fill="auto"/>
          </w:tcPr>
          <w:p w:rsidR="00CC2E53" w:rsidRDefault="00B21372" w:rsidP="00CC2E53">
            <w:pPr>
              <w:pStyle w:val="BodyTextIndent"/>
              <w:ind w:left="0"/>
            </w:pPr>
            <w:proofErr w:type="spellStart"/>
            <w:r>
              <w:t>Stulz</w:t>
            </w:r>
            <w:proofErr w:type="spellEnd"/>
            <w:r>
              <w:t>: 16</w:t>
            </w:r>
          </w:p>
          <w:p w:rsidR="00CC2E53" w:rsidRDefault="00CC2E53" w:rsidP="00CC2E53">
            <w:pPr>
              <w:pStyle w:val="BodyTextIndent"/>
              <w:ind w:left="0"/>
            </w:pPr>
            <w:r>
              <w:t>SELF Case</w:t>
            </w:r>
          </w:p>
          <w:p w:rsidR="00CC2E53" w:rsidRDefault="00CC2E53" w:rsidP="00CC2E53">
            <w:pPr>
              <w:pStyle w:val="BodyTextIndent"/>
              <w:ind w:left="0"/>
            </w:pPr>
          </w:p>
        </w:tc>
        <w:tc>
          <w:tcPr>
            <w:tcW w:w="1854" w:type="dxa"/>
          </w:tcPr>
          <w:p w:rsidR="00CC2E53" w:rsidRDefault="00CC2E53" w:rsidP="00CC2E53">
            <w:pPr>
              <w:pStyle w:val="BodyTextIndent"/>
              <w:ind w:left="0"/>
            </w:pPr>
            <w:r>
              <w:t>Quiz #1</w:t>
            </w:r>
          </w:p>
        </w:tc>
      </w:tr>
      <w:tr w:rsidR="00CC2E53" w:rsidTr="00CC2E53">
        <w:tc>
          <w:tcPr>
            <w:tcW w:w="1163" w:type="dxa"/>
            <w:shd w:val="clear" w:color="auto" w:fill="auto"/>
          </w:tcPr>
          <w:p w:rsidR="00CC2E53" w:rsidRPr="00B85BC2" w:rsidRDefault="00CC2E53" w:rsidP="00CC2E53">
            <w:pPr>
              <w:pStyle w:val="BodyTextIndent"/>
              <w:ind w:left="0"/>
              <w:rPr>
                <w:b/>
                <w:bCs/>
              </w:rPr>
            </w:pPr>
            <w:r w:rsidRPr="00B85BC2">
              <w:rPr>
                <w:b/>
                <w:bCs/>
              </w:rPr>
              <w:t>Third Saturday</w:t>
            </w:r>
          </w:p>
        </w:tc>
        <w:tc>
          <w:tcPr>
            <w:tcW w:w="3787" w:type="dxa"/>
            <w:shd w:val="clear" w:color="auto" w:fill="auto"/>
          </w:tcPr>
          <w:p w:rsidR="00CC2E53" w:rsidRDefault="00CC2E53" w:rsidP="00CC2E53">
            <w:pPr>
              <w:pStyle w:val="BodyTextIndent"/>
              <w:ind w:left="0"/>
            </w:pPr>
            <w:r>
              <w:t>Currency Swaps</w:t>
            </w:r>
          </w:p>
          <w:p w:rsidR="00CC2E53" w:rsidRDefault="00CC2E53" w:rsidP="00CC2E53">
            <w:pPr>
              <w:pStyle w:val="BodyTextIndent"/>
              <w:ind w:left="0"/>
            </w:pPr>
          </w:p>
        </w:tc>
        <w:tc>
          <w:tcPr>
            <w:tcW w:w="1980" w:type="dxa"/>
            <w:shd w:val="clear" w:color="auto" w:fill="auto"/>
          </w:tcPr>
          <w:p w:rsidR="00CC2E53" w:rsidRDefault="00CC2E53" w:rsidP="00CC2E53">
            <w:pPr>
              <w:pStyle w:val="BodyTextIndent"/>
              <w:ind w:left="0"/>
            </w:pPr>
            <w:r>
              <w:t>Disney Case</w:t>
            </w:r>
          </w:p>
        </w:tc>
        <w:tc>
          <w:tcPr>
            <w:tcW w:w="1854" w:type="dxa"/>
          </w:tcPr>
          <w:p w:rsidR="00CC2E53" w:rsidRDefault="00CC2E53" w:rsidP="00CC2E53">
            <w:pPr>
              <w:pStyle w:val="BodyTextIndent"/>
              <w:ind w:left="0"/>
            </w:pPr>
          </w:p>
        </w:tc>
      </w:tr>
      <w:tr w:rsidR="00CC2E53" w:rsidTr="00CC2E53">
        <w:tc>
          <w:tcPr>
            <w:tcW w:w="1163" w:type="dxa"/>
            <w:shd w:val="clear" w:color="auto" w:fill="auto"/>
          </w:tcPr>
          <w:p w:rsidR="00CC2E53" w:rsidRPr="00B85BC2" w:rsidRDefault="00CC2E53" w:rsidP="00CC2E53">
            <w:pPr>
              <w:pStyle w:val="BodyTextIndent"/>
              <w:ind w:left="0"/>
              <w:rPr>
                <w:b/>
                <w:bCs/>
              </w:rPr>
            </w:pPr>
            <w:r>
              <w:rPr>
                <w:b/>
                <w:bCs/>
              </w:rPr>
              <w:t>Between Classes</w:t>
            </w:r>
          </w:p>
        </w:tc>
        <w:tc>
          <w:tcPr>
            <w:tcW w:w="3787" w:type="dxa"/>
            <w:shd w:val="clear" w:color="auto" w:fill="auto"/>
          </w:tcPr>
          <w:p w:rsidR="00CC2E53" w:rsidRDefault="00CC2E53" w:rsidP="00CC2E53">
            <w:pPr>
              <w:pStyle w:val="BodyTextIndent"/>
              <w:ind w:left="0"/>
            </w:pPr>
          </w:p>
        </w:tc>
        <w:tc>
          <w:tcPr>
            <w:tcW w:w="1980" w:type="dxa"/>
            <w:shd w:val="clear" w:color="auto" w:fill="auto"/>
          </w:tcPr>
          <w:p w:rsidR="00CC2E53" w:rsidRDefault="00CC2E53" w:rsidP="00CC2E53">
            <w:pPr>
              <w:pStyle w:val="BodyTextIndent"/>
              <w:ind w:left="0"/>
            </w:pPr>
          </w:p>
        </w:tc>
        <w:tc>
          <w:tcPr>
            <w:tcW w:w="1854" w:type="dxa"/>
          </w:tcPr>
          <w:p w:rsidR="00CC2E53" w:rsidRDefault="00CC2E53" w:rsidP="00CC2E53">
            <w:pPr>
              <w:pStyle w:val="BodyTextIndent"/>
              <w:ind w:left="0"/>
            </w:pPr>
            <w:r>
              <w:t>Homework #3 due</w:t>
            </w:r>
          </w:p>
          <w:p w:rsidR="00CC2E53" w:rsidRDefault="00CC2E53" w:rsidP="00CC2E53">
            <w:pPr>
              <w:pStyle w:val="BodyTextIndent"/>
              <w:ind w:left="0"/>
            </w:pPr>
          </w:p>
        </w:tc>
      </w:tr>
      <w:tr w:rsidR="00CC2E53" w:rsidTr="00CC2E53">
        <w:tc>
          <w:tcPr>
            <w:tcW w:w="1163" w:type="dxa"/>
            <w:shd w:val="clear" w:color="auto" w:fill="auto"/>
          </w:tcPr>
          <w:p w:rsidR="00CC2E53" w:rsidRPr="00B85BC2" w:rsidRDefault="00CC2E53" w:rsidP="00CC2E53">
            <w:pPr>
              <w:pStyle w:val="BodyTextIndent"/>
              <w:ind w:left="0"/>
              <w:rPr>
                <w:b/>
                <w:bCs/>
              </w:rPr>
            </w:pPr>
            <w:r w:rsidRPr="00B85BC2">
              <w:rPr>
                <w:b/>
                <w:bCs/>
              </w:rPr>
              <w:t>Fourth Friday</w:t>
            </w:r>
          </w:p>
        </w:tc>
        <w:tc>
          <w:tcPr>
            <w:tcW w:w="3787" w:type="dxa"/>
            <w:shd w:val="clear" w:color="auto" w:fill="auto"/>
          </w:tcPr>
          <w:p w:rsidR="00CC2E53" w:rsidRDefault="00CC2E53" w:rsidP="00CC2E53">
            <w:pPr>
              <w:pStyle w:val="BodyTextIndent"/>
              <w:ind w:left="0"/>
            </w:pPr>
            <w:r>
              <w:t>Credit Default Swaps</w:t>
            </w:r>
          </w:p>
        </w:tc>
        <w:tc>
          <w:tcPr>
            <w:tcW w:w="1980" w:type="dxa"/>
            <w:shd w:val="clear" w:color="auto" w:fill="auto"/>
          </w:tcPr>
          <w:p w:rsidR="00B21372" w:rsidRDefault="00B21372" w:rsidP="00B21372">
            <w:pPr>
              <w:pStyle w:val="BodyTextIndent"/>
              <w:ind w:left="0"/>
            </w:pPr>
            <w:proofErr w:type="spellStart"/>
            <w:r>
              <w:t>Stulz</w:t>
            </w:r>
            <w:proofErr w:type="spellEnd"/>
            <w:r>
              <w:t>: 18</w:t>
            </w:r>
          </w:p>
          <w:p w:rsidR="00CC2E53" w:rsidRDefault="00CC2E53" w:rsidP="00CC2E53">
            <w:pPr>
              <w:pStyle w:val="BodyTextIndent"/>
              <w:ind w:left="0"/>
            </w:pPr>
            <w:r>
              <w:t>First American Bank Case</w:t>
            </w:r>
          </w:p>
          <w:p w:rsidR="00CC2E53" w:rsidRDefault="00CC2E53" w:rsidP="00CC2E53">
            <w:pPr>
              <w:pStyle w:val="BodyTextIndent"/>
              <w:ind w:left="0"/>
            </w:pPr>
          </w:p>
        </w:tc>
        <w:tc>
          <w:tcPr>
            <w:tcW w:w="1854" w:type="dxa"/>
          </w:tcPr>
          <w:p w:rsidR="00CC2E53" w:rsidRDefault="00CC2E53" w:rsidP="00CC2E53">
            <w:pPr>
              <w:pStyle w:val="BodyTextIndent"/>
              <w:ind w:left="0"/>
            </w:pPr>
            <w:r>
              <w:t>Quiz #2</w:t>
            </w:r>
          </w:p>
          <w:p w:rsidR="00CC2E53" w:rsidRDefault="00CC2E53" w:rsidP="00CC2E53">
            <w:pPr>
              <w:pStyle w:val="BodyTextIndent"/>
              <w:ind w:left="0"/>
            </w:pPr>
          </w:p>
        </w:tc>
      </w:tr>
      <w:tr w:rsidR="00CC2E53" w:rsidTr="00CC2E53">
        <w:tc>
          <w:tcPr>
            <w:tcW w:w="1163" w:type="dxa"/>
            <w:shd w:val="clear" w:color="auto" w:fill="auto"/>
          </w:tcPr>
          <w:p w:rsidR="00CC2E53" w:rsidRPr="00B85BC2" w:rsidRDefault="00CC2E53" w:rsidP="00CC2E53">
            <w:pPr>
              <w:pStyle w:val="BodyTextIndent"/>
              <w:ind w:left="0"/>
              <w:rPr>
                <w:b/>
                <w:bCs/>
              </w:rPr>
            </w:pPr>
            <w:r w:rsidRPr="00B85BC2">
              <w:rPr>
                <w:b/>
                <w:bCs/>
              </w:rPr>
              <w:t>Fourth Saturday</w:t>
            </w:r>
          </w:p>
        </w:tc>
        <w:tc>
          <w:tcPr>
            <w:tcW w:w="3787" w:type="dxa"/>
            <w:shd w:val="clear" w:color="auto" w:fill="auto"/>
          </w:tcPr>
          <w:p w:rsidR="00CC2E53" w:rsidRDefault="00CC2E53" w:rsidP="00CC2E53">
            <w:pPr>
              <w:pStyle w:val="BodyTextIndent"/>
              <w:ind w:left="0"/>
            </w:pPr>
            <w:r>
              <w:t>Equity Swaps</w:t>
            </w:r>
          </w:p>
          <w:p w:rsidR="00CC2E53" w:rsidRDefault="00CC2E53" w:rsidP="00CC2E53">
            <w:pPr>
              <w:pStyle w:val="BodyTextIndent"/>
              <w:ind w:left="0"/>
            </w:pPr>
            <w:r>
              <w:t>Weather Derivatives</w:t>
            </w:r>
          </w:p>
          <w:p w:rsidR="00E71ABF" w:rsidRDefault="00E71ABF" w:rsidP="00CC2E53">
            <w:pPr>
              <w:pStyle w:val="BodyTextIndent"/>
              <w:ind w:left="0"/>
            </w:pPr>
            <w:r>
              <w:t>Go over Exam</w:t>
            </w:r>
          </w:p>
          <w:p w:rsidR="00CC2E53" w:rsidRDefault="00CC2E53" w:rsidP="00CC2E53">
            <w:pPr>
              <w:pStyle w:val="BodyTextIndent"/>
              <w:ind w:left="0"/>
            </w:pPr>
          </w:p>
        </w:tc>
        <w:tc>
          <w:tcPr>
            <w:tcW w:w="1980" w:type="dxa"/>
            <w:shd w:val="clear" w:color="auto" w:fill="auto"/>
          </w:tcPr>
          <w:p w:rsidR="00CC2E53" w:rsidRDefault="00CC2E53" w:rsidP="00CC2E53">
            <w:pPr>
              <w:pStyle w:val="BodyTextIndent"/>
              <w:ind w:left="0"/>
            </w:pPr>
            <w:r>
              <w:t>Enron Case</w:t>
            </w:r>
          </w:p>
          <w:p w:rsidR="00CC2E53" w:rsidRDefault="00CC2E53" w:rsidP="00CC2E53">
            <w:pPr>
              <w:pStyle w:val="BodyTextIndent"/>
              <w:ind w:left="0"/>
            </w:pPr>
            <w:r>
              <w:t>Honeywell Case</w:t>
            </w:r>
          </w:p>
          <w:p w:rsidR="00CC2E53" w:rsidRDefault="00CC2E53" w:rsidP="00CC2E53">
            <w:pPr>
              <w:pStyle w:val="BodyTextIndent"/>
              <w:ind w:left="0"/>
            </w:pPr>
          </w:p>
        </w:tc>
        <w:tc>
          <w:tcPr>
            <w:tcW w:w="1854" w:type="dxa"/>
          </w:tcPr>
          <w:p w:rsidR="00CC2E53" w:rsidRDefault="00CC2E53" w:rsidP="00CC2E53">
            <w:pPr>
              <w:pStyle w:val="BodyTextIndent"/>
              <w:ind w:left="0"/>
            </w:pPr>
          </w:p>
        </w:tc>
      </w:tr>
    </w:tbl>
    <w:p w:rsidR="00E86960" w:rsidRDefault="00E86960" w:rsidP="00F328D0">
      <w:pPr>
        <w:pStyle w:val="BodyTextIndent"/>
        <w:ind w:left="0"/>
      </w:pPr>
    </w:p>
    <w:sectPr w:rsidR="00E86960" w:rsidSect="00F328D0">
      <w:pgSz w:w="12240" w:h="15840"/>
      <w:pgMar w:top="720" w:right="1728"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91"/>
    <w:rsid w:val="00001DB0"/>
    <w:rsid w:val="00002034"/>
    <w:rsid w:val="00005C55"/>
    <w:rsid w:val="00013E46"/>
    <w:rsid w:val="00020E1D"/>
    <w:rsid w:val="00034DBB"/>
    <w:rsid w:val="00060F12"/>
    <w:rsid w:val="000657A3"/>
    <w:rsid w:val="00080CE4"/>
    <w:rsid w:val="000A3168"/>
    <w:rsid w:val="000A75C2"/>
    <w:rsid w:val="000F5778"/>
    <w:rsid w:val="000F7946"/>
    <w:rsid w:val="00113091"/>
    <w:rsid w:val="00150E9E"/>
    <w:rsid w:val="00167B2A"/>
    <w:rsid w:val="00185456"/>
    <w:rsid w:val="00190990"/>
    <w:rsid w:val="001B2A77"/>
    <w:rsid w:val="001E4953"/>
    <w:rsid w:val="00212CAF"/>
    <w:rsid w:val="002315EA"/>
    <w:rsid w:val="00253573"/>
    <w:rsid w:val="002849F6"/>
    <w:rsid w:val="00286B30"/>
    <w:rsid w:val="00291124"/>
    <w:rsid w:val="00293861"/>
    <w:rsid w:val="002D1266"/>
    <w:rsid w:val="002D1BF2"/>
    <w:rsid w:val="002E6A79"/>
    <w:rsid w:val="002F2306"/>
    <w:rsid w:val="00312FD0"/>
    <w:rsid w:val="00326421"/>
    <w:rsid w:val="0033405F"/>
    <w:rsid w:val="00374B83"/>
    <w:rsid w:val="003907C6"/>
    <w:rsid w:val="00402FEB"/>
    <w:rsid w:val="00412D20"/>
    <w:rsid w:val="00416141"/>
    <w:rsid w:val="004C7183"/>
    <w:rsid w:val="004D092F"/>
    <w:rsid w:val="004D7555"/>
    <w:rsid w:val="004E53CF"/>
    <w:rsid w:val="004E63A9"/>
    <w:rsid w:val="00521DCB"/>
    <w:rsid w:val="00525B82"/>
    <w:rsid w:val="005353C1"/>
    <w:rsid w:val="00535794"/>
    <w:rsid w:val="0054708D"/>
    <w:rsid w:val="00556C53"/>
    <w:rsid w:val="0056086D"/>
    <w:rsid w:val="00587AAC"/>
    <w:rsid w:val="00595D4F"/>
    <w:rsid w:val="005A1C1F"/>
    <w:rsid w:val="005A2E88"/>
    <w:rsid w:val="005B3A53"/>
    <w:rsid w:val="005F7C7C"/>
    <w:rsid w:val="00605CD6"/>
    <w:rsid w:val="006B2BEE"/>
    <w:rsid w:val="006D78BE"/>
    <w:rsid w:val="006F295D"/>
    <w:rsid w:val="007020AD"/>
    <w:rsid w:val="00711670"/>
    <w:rsid w:val="007142A2"/>
    <w:rsid w:val="0071525B"/>
    <w:rsid w:val="00726D6C"/>
    <w:rsid w:val="00740081"/>
    <w:rsid w:val="00743B29"/>
    <w:rsid w:val="00744ACF"/>
    <w:rsid w:val="007522D0"/>
    <w:rsid w:val="00786CEA"/>
    <w:rsid w:val="007B0319"/>
    <w:rsid w:val="007D1225"/>
    <w:rsid w:val="007E55A4"/>
    <w:rsid w:val="00813A59"/>
    <w:rsid w:val="008F1381"/>
    <w:rsid w:val="00901814"/>
    <w:rsid w:val="00902D14"/>
    <w:rsid w:val="00910BE6"/>
    <w:rsid w:val="00945865"/>
    <w:rsid w:val="009A3DFA"/>
    <w:rsid w:val="009C39AE"/>
    <w:rsid w:val="009E3ACD"/>
    <w:rsid w:val="00A17DD6"/>
    <w:rsid w:val="00A23591"/>
    <w:rsid w:val="00A43D35"/>
    <w:rsid w:val="00A65C29"/>
    <w:rsid w:val="00A84B41"/>
    <w:rsid w:val="00A85C90"/>
    <w:rsid w:val="00B07DAE"/>
    <w:rsid w:val="00B212A6"/>
    <w:rsid w:val="00B21372"/>
    <w:rsid w:val="00B25511"/>
    <w:rsid w:val="00B325D3"/>
    <w:rsid w:val="00B5294F"/>
    <w:rsid w:val="00B61F07"/>
    <w:rsid w:val="00B83D0F"/>
    <w:rsid w:val="00B85BC2"/>
    <w:rsid w:val="00BB0620"/>
    <w:rsid w:val="00C00B3B"/>
    <w:rsid w:val="00C014AE"/>
    <w:rsid w:val="00C01CED"/>
    <w:rsid w:val="00C2014E"/>
    <w:rsid w:val="00C246A1"/>
    <w:rsid w:val="00C716D1"/>
    <w:rsid w:val="00C73AAB"/>
    <w:rsid w:val="00C971F8"/>
    <w:rsid w:val="00CC0403"/>
    <w:rsid w:val="00CC2E53"/>
    <w:rsid w:val="00CD7C1C"/>
    <w:rsid w:val="00CE14F1"/>
    <w:rsid w:val="00D352A7"/>
    <w:rsid w:val="00D57483"/>
    <w:rsid w:val="00DA7A92"/>
    <w:rsid w:val="00E44554"/>
    <w:rsid w:val="00E71ABF"/>
    <w:rsid w:val="00E86960"/>
    <w:rsid w:val="00EB4C32"/>
    <w:rsid w:val="00EB5F68"/>
    <w:rsid w:val="00F15EDA"/>
    <w:rsid w:val="00F30CF9"/>
    <w:rsid w:val="00F328D0"/>
    <w:rsid w:val="00F51265"/>
    <w:rsid w:val="00F53D88"/>
    <w:rsid w:val="00F7370E"/>
    <w:rsid w:val="00F74398"/>
    <w:rsid w:val="00F81C96"/>
    <w:rsid w:val="00F851D5"/>
    <w:rsid w:val="00F91EC6"/>
    <w:rsid w:val="00FB1222"/>
    <w:rsid w:val="00FB36E8"/>
    <w:rsid w:val="00FB3ACF"/>
    <w:rsid w:val="00FF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91945"/>
  <w15:docId w15:val="{93E33C79-DE3F-4CC8-8666-95F43BB0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link w:val="BodyTextIndentChar"/>
    <w:pPr>
      <w:ind w:left="2160"/>
    </w:pPr>
    <w:rPr>
      <w:sz w:val="24"/>
    </w:rPr>
  </w:style>
  <w:style w:type="paragraph" w:styleId="BodyTextIndent2">
    <w:name w:val="Body Text Indent 2"/>
    <w:basedOn w:val="Normal"/>
    <w:pPr>
      <w:ind w:left="2160" w:hanging="2160"/>
    </w:pPr>
    <w:rPr>
      <w:sz w:val="24"/>
    </w:rPr>
  </w:style>
  <w:style w:type="table" w:styleId="TableGrid">
    <w:name w:val="Table Grid"/>
    <w:basedOn w:val="TableNormal"/>
    <w:rsid w:val="00E8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0020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4D092F"/>
    <w:rPr>
      <w:color w:val="0000FF"/>
      <w:u w:val="single"/>
    </w:rPr>
  </w:style>
  <w:style w:type="character" w:styleId="FollowedHyperlink">
    <w:name w:val="FollowedHyperlink"/>
    <w:rsid w:val="00BB0620"/>
    <w:rPr>
      <w:color w:val="800080"/>
      <w:u w:val="single"/>
    </w:rPr>
  </w:style>
  <w:style w:type="paragraph" w:styleId="BalloonText">
    <w:name w:val="Balloon Text"/>
    <w:basedOn w:val="Normal"/>
    <w:semiHidden/>
    <w:rsid w:val="0056086D"/>
    <w:rPr>
      <w:rFonts w:ascii="Tahoma" w:hAnsi="Tahoma" w:cs="Tahoma"/>
      <w:sz w:val="16"/>
      <w:szCs w:val="16"/>
    </w:rPr>
  </w:style>
  <w:style w:type="table" w:styleId="TableGrid5">
    <w:name w:val="Table Grid 5"/>
    <w:basedOn w:val="TableNormal"/>
    <w:rsid w:val="002315E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rsid w:val="002315E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BodyTextIndentChar">
    <w:name w:val="Body Text Indent Char"/>
    <w:link w:val="BodyTextIndent"/>
    <w:rsid w:val="001E49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c.tulane.edu/disability/index.html" TargetMode="External"/><Relationship Id="rId3" Type="http://schemas.openxmlformats.org/officeDocument/2006/relationships/settings" Target="settings.xml"/><Relationship Id="rId7" Type="http://schemas.openxmlformats.org/officeDocument/2006/relationships/hyperlink" Target="http://studentconduct.tulan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ulane.edu/provost/upload/Unified_Code_of_GS_Academic_Conduct_11-14-07.pdf" TargetMode="External"/><Relationship Id="rId5" Type="http://schemas.openxmlformats.org/officeDocument/2006/relationships/hyperlink" Target="http://breesecrm.wp.tulan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D8138-FF69-4FA7-A25B-9D468C82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tulane</Company>
  <LinksUpToDate>false</LinksUpToDate>
  <CharactersWithSpaces>5589</CharactersWithSpaces>
  <SharedDoc>false</SharedDoc>
  <HLinks>
    <vt:vector size="6" baseType="variant">
      <vt:variant>
        <vt:i4>6094882</vt:i4>
      </vt:variant>
      <vt:variant>
        <vt:i4>0</vt:i4>
      </vt:variant>
      <vt:variant>
        <vt:i4>0</vt:i4>
      </vt:variant>
      <vt:variant>
        <vt:i4>5</vt:i4>
      </vt:variant>
      <vt:variant>
        <vt:lpwstr>http://info.freeman.tulane.edu/breeseemba/fixed_income.htm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William A. Reese, Jr.</dc:creator>
  <cp:lastModifiedBy>Reese, William A</cp:lastModifiedBy>
  <cp:revision>6</cp:revision>
  <cp:lastPrinted>2019-03-26T19:45:00Z</cp:lastPrinted>
  <dcterms:created xsi:type="dcterms:W3CDTF">2019-03-18T17:37:00Z</dcterms:created>
  <dcterms:modified xsi:type="dcterms:W3CDTF">2019-03-26T21:28:00Z</dcterms:modified>
</cp:coreProperties>
</file>